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D349D" w14:textId="1281A86D" w:rsidR="00175767" w:rsidRPr="00F70920" w:rsidRDefault="00BF20CE" w:rsidP="00175767">
      <w:pPr>
        <w:spacing w:before="285"/>
        <w:jc w:val="right"/>
        <w:rPr>
          <w:rFonts w:ascii="Garamond" w:eastAsia="Garamond" w:hAnsi="Garamond" w:cs="Garamond"/>
          <w:b/>
          <w:bCs/>
          <w:sz w:val="18"/>
          <w:szCs w:val="18"/>
        </w:rPr>
      </w:pPr>
      <w:r w:rsidRPr="00F70920">
        <w:rPr>
          <w:rFonts w:ascii="Garamond" w:eastAsia="Garamond" w:hAnsi="Garamond" w:cs="Garamond"/>
          <w:b/>
          <w:bCs/>
          <w:sz w:val="18"/>
          <w:szCs w:val="18"/>
        </w:rPr>
        <w:t xml:space="preserve">Allegato </w:t>
      </w:r>
      <w:r w:rsidR="00175767" w:rsidRPr="00F70920">
        <w:rPr>
          <w:rFonts w:ascii="Garamond" w:eastAsia="Garamond" w:hAnsi="Garamond" w:cs="Garamond"/>
          <w:b/>
          <w:bCs/>
          <w:sz w:val="18"/>
          <w:szCs w:val="18"/>
        </w:rPr>
        <w:t>3</w:t>
      </w:r>
      <w:bookmarkStart w:id="0" w:name="_Toc103162021"/>
      <w:bookmarkStart w:id="1" w:name="_Hlk179280209"/>
      <w:r w:rsidR="00F70920" w:rsidRPr="00F70920">
        <w:rPr>
          <w:rFonts w:ascii="Garamond" w:eastAsia="Garamond" w:hAnsi="Garamond" w:cs="Garamond"/>
          <w:b/>
          <w:bCs/>
          <w:sz w:val="18"/>
          <w:szCs w:val="18"/>
        </w:rPr>
        <w:t xml:space="preserve"> - Informativa conferimento e trattamento dati Avviso Bonus</w:t>
      </w:r>
    </w:p>
    <w:p w14:paraId="6EEFE97E" w14:textId="5E758A9A" w:rsidR="00AA66CD" w:rsidRPr="00AA66CD" w:rsidRDefault="00F33626" w:rsidP="00175767">
      <w:pPr>
        <w:spacing w:before="285"/>
        <w:rPr>
          <w:rFonts w:ascii="Garamond" w:eastAsiaTheme="majorEastAsia" w:hAnsi="Garamond" w:cstheme="majorBidi"/>
          <w:b/>
          <w:sz w:val="26"/>
          <w:szCs w:val="26"/>
        </w:rPr>
      </w:pPr>
      <w:r w:rsidRPr="00A529D5">
        <w:rPr>
          <w:rFonts w:ascii="Garamond" w:eastAsia="Garamond" w:hAnsi="Garamond" w:cs="Garamond"/>
          <w:b/>
          <w:bCs/>
          <w:noProof/>
          <w:sz w:val="28"/>
          <w:szCs w:val="28"/>
          <w:highlight w:val="green"/>
        </w:rPr>
        <mc:AlternateContent>
          <mc:Choice Requires="wps">
            <w:drawing>
              <wp:anchor distT="0" distB="0" distL="114300" distR="114300" simplePos="0" relativeHeight="487599616" behindDoc="0" locked="0" layoutInCell="1" allowOverlap="1" wp14:anchorId="12AA66A2" wp14:editId="2E300974">
                <wp:simplePos x="0" y="0"/>
                <wp:positionH relativeFrom="column">
                  <wp:posOffset>0</wp:posOffset>
                </wp:positionH>
                <wp:positionV relativeFrom="paragraph">
                  <wp:posOffset>0</wp:posOffset>
                </wp:positionV>
                <wp:extent cx="635000" cy="635000"/>
                <wp:effectExtent l="0" t="0" r="3175" b="3175"/>
                <wp:wrapNone/>
                <wp:docPr id="1648707567" name="Casella di testo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C0BF9" id="_x0000_t202" coordsize="21600,21600" o:spt="202" path="m,l,21600r21600,l21600,xe">
                <v:stroke joinstyle="miter"/>
                <v:path gradientshapeok="t" o:connecttype="rect"/>
              </v:shapetype>
              <v:shape id="Casella di testo 4" o:spid="_x0000_s1026" type="#_x0000_t202" style="position:absolute;margin-left:0;margin-top:0;width:50pt;height:50pt;z-index:48759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" filled="f" stroked="f">
                <o:lock v:ext="edit" selection="t" text="t" shapetype="t"/>
              </v:shape>
            </w:pict>
          </mc:Fallback>
        </mc:AlternateContent>
      </w:r>
      <w:bookmarkStart w:id="2" w:name="_Toc82869617"/>
      <w:bookmarkStart w:id="3" w:name="_Toc83369218"/>
      <w:bookmarkStart w:id="4" w:name="_Toc83397143"/>
      <w:bookmarkStart w:id="5" w:name="_Toc83920632"/>
      <w:bookmarkEnd w:id="0"/>
      <w:r w:rsidR="00AA66CD" w:rsidRPr="00FB3803">
        <w:rPr>
          <w:rFonts w:ascii="Garamond" w:eastAsiaTheme="majorEastAsia" w:hAnsi="Garamond" w:cstheme="majorBidi"/>
          <w:b/>
          <w:sz w:val="28"/>
          <w:szCs w:val="28"/>
        </w:rPr>
        <w:t>Informativa sul conferimento e trattamento dei dati e sulla pubblicazione degli elementi ritenuti non sensibili nei siti istituzionali e di consultazione aperta</w:t>
      </w:r>
      <w:bookmarkEnd w:id="2"/>
      <w:bookmarkEnd w:id="3"/>
      <w:bookmarkEnd w:id="4"/>
      <w:bookmarkEnd w:id="5"/>
    </w:p>
    <w:p w14:paraId="0AF89F9C" w14:textId="77777777" w:rsidR="00F33626" w:rsidRDefault="00F33626" w:rsidP="00175767">
      <w:pPr>
        <w:rPr>
          <w:rFonts w:ascii="Garamond" w:hAnsi="Garamond"/>
        </w:rPr>
      </w:pPr>
    </w:p>
    <w:p w14:paraId="16D058D6" w14:textId="77777777" w:rsidR="008F700D" w:rsidRDefault="008F700D" w:rsidP="008F700D">
      <w:pPr>
        <w:rPr>
          <w:rFonts w:ascii="Garamond" w:eastAsiaTheme="minorHAnsi" w:hAnsi="Garamond" w:cstheme="minorBidi"/>
          <w:b/>
        </w:rPr>
      </w:pPr>
      <w:bookmarkStart w:id="6" w:name="_Hlk179980690"/>
      <w:r w:rsidRPr="00AA66CD">
        <w:rPr>
          <w:rFonts w:ascii="Garamond" w:eastAsiaTheme="minorHAnsi" w:hAnsi="Garamond" w:cstheme="minorBidi"/>
          <w:b/>
        </w:rPr>
        <w:t>1. Oggetto del Trattamento</w:t>
      </w:r>
    </w:p>
    <w:p w14:paraId="264E68F9" w14:textId="77777777" w:rsidR="00AA66CD" w:rsidRPr="00AA66CD" w:rsidRDefault="00AA66CD" w:rsidP="008F700D">
      <w:pPr>
        <w:rPr>
          <w:rFonts w:ascii="Garamond" w:eastAsiaTheme="minorHAnsi" w:hAnsi="Garamond" w:cstheme="minorBidi"/>
          <w:b/>
        </w:rPr>
      </w:pPr>
    </w:p>
    <w:p w14:paraId="26965F6B" w14:textId="32EFB2EF" w:rsidR="00DC478F" w:rsidRPr="004B5B70" w:rsidRDefault="008F700D" w:rsidP="008F700D">
      <w:pPr>
        <w:jc w:val="both"/>
        <w:rPr>
          <w:rFonts w:ascii="Garamond" w:eastAsia="Garamond" w:hAnsi="Garamond"/>
          <w:sz w:val="28"/>
          <w:szCs w:val="28"/>
        </w:rPr>
      </w:pPr>
      <w:r w:rsidRPr="00056442">
        <w:rPr>
          <w:rFonts w:ascii="Garamond" w:eastAsia="Garamond" w:hAnsi="Garamond"/>
          <w:sz w:val="24"/>
          <w:szCs w:val="24"/>
        </w:rPr>
        <w:t>Ai sensi del Regolamento (UE) 2016/679 del Parlamento europeo e del Consiglio del 27 aprile 2016 recante la disciplina europea per la protezione delle persone fisiche con riguardo al trattamento dei dati personali, nonché alla libera circolazione di tali dati (</w:t>
      </w:r>
      <w:r w:rsidRPr="003376A5">
        <w:rPr>
          <w:rFonts w:ascii="Garamond" w:eastAsia="Garamond" w:hAnsi="Garamond"/>
          <w:i/>
          <w:iCs/>
          <w:sz w:val="24"/>
          <w:szCs w:val="24"/>
        </w:rPr>
        <w:t xml:space="preserve">General Data </w:t>
      </w:r>
      <w:proofErr w:type="spellStart"/>
      <w:r w:rsidRPr="003376A5">
        <w:rPr>
          <w:rFonts w:ascii="Garamond" w:eastAsia="Garamond" w:hAnsi="Garamond"/>
          <w:i/>
          <w:iCs/>
          <w:sz w:val="24"/>
          <w:szCs w:val="24"/>
        </w:rPr>
        <w:t>Protection</w:t>
      </w:r>
      <w:proofErr w:type="spellEnd"/>
      <w:r w:rsidRPr="003376A5">
        <w:rPr>
          <w:rFonts w:ascii="Garamond" w:eastAsia="Garamond" w:hAnsi="Garamond"/>
          <w:i/>
          <w:iCs/>
          <w:sz w:val="24"/>
          <w:szCs w:val="24"/>
        </w:rPr>
        <w:t xml:space="preserve"> </w:t>
      </w:r>
      <w:proofErr w:type="spellStart"/>
      <w:r w:rsidRPr="003376A5">
        <w:rPr>
          <w:rFonts w:ascii="Garamond" w:eastAsia="Garamond" w:hAnsi="Garamond"/>
          <w:i/>
          <w:iCs/>
          <w:sz w:val="24"/>
          <w:szCs w:val="24"/>
        </w:rPr>
        <w:t>Regulation</w:t>
      </w:r>
      <w:proofErr w:type="spellEnd"/>
      <w:r w:rsidRPr="00056442">
        <w:rPr>
          <w:rFonts w:ascii="Garamond" w:eastAsia="Garamond" w:hAnsi="Garamond"/>
          <w:sz w:val="24"/>
          <w:szCs w:val="24"/>
        </w:rPr>
        <w:t xml:space="preserve"> – GDPR, in seguito "Regolamento"), e nel rispetto del decreto legislativo 30 giugno 2003, n. 196, così come novellato dal decreto legislativo 10 agosto 2018, n. 101, questo documento descrive </w:t>
      </w:r>
      <w:r w:rsidRPr="00165670">
        <w:rPr>
          <w:rFonts w:ascii="Garamond" w:eastAsia="Garamond" w:hAnsi="Garamond"/>
          <w:sz w:val="24"/>
          <w:szCs w:val="24"/>
        </w:rPr>
        <w:t xml:space="preserve">le modalità di trattamento dei dati personali dei soggetti coinvolti e/o </w:t>
      </w:r>
      <w:r w:rsidRPr="0098511E">
        <w:rPr>
          <w:rFonts w:ascii="Garamond" w:eastAsia="Garamond" w:hAnsi="Garamond"/>
          <w:sz w:val="24"/>
          <w:szCs w:val="24"/>
        </w:rPr>
        <w:t xml:space="preserve">interessati a vario </w:t>
      </w:r>
      <w:r w:rsidRPr="002062D8">
        <w:rPr>
          <w:rFonts w:ascii="Garamond" w:eastAsia="Garamond" w:hAnsi="Garamond"/>
          <w:sz w:val="24"/>
          <w:szCs w:val="24"/>
        </w:rPr>
        <w:t>alle iniziative finanziate nell’ambito del</w:t>
      </w:r>
      <w:r w:rsidRPr="00165670">
        <w:rPr>
          <w:rFonts w:ascii="Garamond" w:eastAsia="Garamond" w:hAnsi="Garamond"/>
          <w:sz w:val="24"/>
          <w:szCs w:val="24"/>
        </w:rPr>
        <w:t xml:space="preserve"> Piano Nazionale di Ripresa e Resilienza nonché a tutte le attività a queste connesse tra cui l’interazione con i sistemi informativi di monitoraggio (sistema informatico </w:t>
      </w:r>
      <w:proofErr w:type="spellStart"/>
      <w:r w:rsidRPr="00165670">
        <w:rPr>
          <w:rFonts w:ascii="Garamond" w:eastAsia="Garamond" w:hAnsi="Garamond"/>
          <w:sz w:val="24"/>
          <w:szCs w:val="24"/>
        </w:rPr>
        <w:t>ReGiS</w:t>
      </w:r>
      <w:proofErr w:type="spellEnd"/>
      <w:r w:rsidRPr="00165670">
        <w:rPr>
          <w:rFonts w:ascii="Garamond" w:eastAsia="Garamond" w:hAnsi="Garamond"/>
          <w:sz w:val="24"/>
          <w:szCs w:val="24"/>
        </w:rPr>
        <w:t xml:space="preserve">, messo a disposizione dal Servizio centrale per il PNRR o di altri sistemi informativi locali adottati per lo scambio elettronico dei dati) e la pubblicazione degli elementi ritenuti non sensibili nei siti istituzionali e di consultazione aperta </w:t>
      </w:r>
      <w:hyperlink r:id="rId8" w:history="1">
        <w:r w:rsidRPr="00165670">
          <w:rPr>
            <w:rStyle w:val="Collegamentoipertestuale"/>
            <w:rFonts w:ascii="Garamond" w:hAnsi="Garamond"/>
            <w:sz w:val="24"/>
            <w:szCs w:val="24"/>
          </w:rPr>
          <w:t>www.regione.umbria.it</w:t>
        </w:r>
      </w:hyperlink>
      <w:r w:rsidRPr="00165670">
        <w:rPr>
          <w:rFonts w:ascii="Garamond" w:hAnsi="Garamond"/>
          <w:sz w:val="24"/>
          <w:szCs w:val="24"/>
        </w:rPr>
        <w:t xml:space="preserve"> e </w:t>
      </w:r>
      <w:hyperlink r:id="rId9" w:history="1">
        <w:r w:rsidRPr="00165670">
          <w:rPr>
            <w:rStyle w:val="Collegamentoipertestuale"/>
            <w:rFonts w:ascii="Garamond" w:hAnsi="Garamond"/>
            <w:sz w:val="24"/>
            <w:szCs w:val="24"/>
          </w:rPr>
          <w:t>www.arpalumbria.it</w:t>
        </w:r>
      </w:hyperlink>
      <w:r w:rsidR="00DC478F" w:rsidRPr="00165670">
        <w:t>.</w:t>
      </w:r>
    </w:p>
    <w:p w14:paraId="0431E75A" w14:textId="77777777" w:rsidR="008F700D" w:rsidRPr="00AA66CD" w:rsidRDefault="008F700D" w:rsidP="00AA66CD">
      <w:pPr>
        <w:widowControl/>
        <w:autoSpaceDE/>
        <w:autoSpaceDN/>
        <w:spacing w:after="160" w:line="259" w:lineRule="auto"/>
        <w:jc w:val="both"/>
        <w:rPr>
          <w:rFonts w:ascii="Garamond" w:eastAsiaTheme="minorHAnsi" w:hAnsi="Garamond" w:cstheme="minorBidi"/>
          <w:sz w:val="24"/>
        </w:rPr>
      </w:pPr>
      <w:r w:rsidRPr="00AA66CD">
        <w:rPr>
          <w:rFonts w:ascii="Garamond" w:eastAsiaTheme="minorHAnsi" w:hAnsi="Garamond" w:cstheme="minorBidi"/>
          <w:sz w:val="24"/>
        </w:rPr>
        <w:t>Il trattamento dei dati personali avviene nel rispetto della dignità umana, dei diritti e delle libertà fondamentali della persona.</w:t>
      </w:r>
    </w:p>
    <w:tbl>
      <w:tblPr>
        <w:tblW w:w="9639" w:type="dxa"/>
        <w:tblBorders>
          <w:top w:val="nil"/>
          <w:left w:val="nil"/>
          <w:bottom w:val="nil"/>
          <w:right w:val="nil"/>
          <w:insideH w:val="nil"/>
          <w:insideV w:val="nil"/>
        </w:tblBorders>
        <w:tblLayout w:type="fixed"/>
        <w:tblLook w:val="0400" w:firstRow="0" w:lastRow="0" w:firstColumn="0" w:lastColumn="0" w:noHBand="0" w:noVBand="1"/>
      </w:tblPr>
      <w:tblGrid>
        <w:gridCol w:w="678"/>
        <w:gridCol w:w="8961"/>
      </w:tblGrid>
      <w:tr w:rsidR="008F700D" w:rsidRPr="00056442" w14:paraId="31E7C218" w14:textId="77777777" w:rsidTr="00B66203">
        <w:tc>
          <w:tcPr>
            <w:tcW w:w="678" w:type="dxa"/>
            <w:shd w:val="clear" w:color="auto" w:fill="4F81BD"/>
          </w:tcPr>
          <w:p w14:paraId="098527D6" w14:textId="77777777" w:rsidR="008F700D" w:rsidRPr="00056442" w:rsidRDefault="008F700D" w:rsidP="00B66203">
            <w:pPr>
              <w:rPr>
                <w:rFonts w:ascii="Garamond" w:eastAsia="Garamond" w:hAnsi="Garamond"/>
                <w:b/>
                <w:color w:val="FFFFFF"/>
                <w:sz w:val="26"/>
                <w:szCs w:val="26"/>
              </w:rPr>
            </w:pPr>
            <w:r w:rsidRPr="00056442">
              <w:rPr>
                <w:rFonts w:ascii="Garamond" w:hAnsi="Garamond"/>
                <w:noProof/>
              </w:rPr>
              <w:drawing>
                <wp:anchor distT="0" distB="0" distL="114300" distR="114300" simplePos="0" relativeHeight="487605760" behindDoc="0" locked="0" layoutInCell="1" allowOverlap="1" wp14:anchorId="68EC11D3" wp14:editId="4374BF91">
                  <wp:simplePos x="0" y="0"/>
                  <wp:positionH relativeFrom="column">
                    <wp:posOffset>-72390</wp:posOffset>
                  </wp:positionH>
                  <wp:positionV relativeFrom="paragraph">
                    <wp:posOffset>-7620</wp:posOffset>
                  </wp:positionV>
                  <wp:extent cx="367200" cy="367200"/>
                  <wp:effectExtent l="0" t="0" r="0" b="0"/>
                  <wp:wrapNone/>
                  <wp:docPr id="1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67200" cy="367200"/>
                          </a:xfrm>
                          <a:prstGeom prst="rect">
                            <a:avLst/>
                          </a:prstGeom>
                          <a:ln/>
                        </pic:spPr>
                      </pic:pic>
                    </a:graphicData>
                  </a:graphic>
                </wp:anchor>
              </w:drawing>
            </w:r>
          </w:p>
        </w:tc>
        <w:tc>
          <w:tcPr>
            <w:tcW w:w="8961" w:type="dxa"/>
            <w:shd w:val="clear" w:color="auto" w:fill="4F81BD"/>
          </w:tcPr>
          <w:p w14:paraId="545602CD" w14:textId="77777777" w:rsidR="008F700D" w:rsidRPr="00056442" w:rsidRDefault="008F700D" w:rsidP="00B66203">
            <w:pPr>
              <w:pBdr>
                <w:top w:val="nil"/>
                <w:left w:val="nil"/>
                <w:bottom w:val="nil"/>
                <w:right w:val="nil"/>
                <w:between w:val="nil"/>
              </w:pBdr>
              <w:spacing w:before="120" w:line="360" w:lineRule="auto"/>
              <w:jc w:val="both"/>
              <w:rPr>
                <w:rFonts w:ascii="Garamond" w:eastAsia="Garamond" w:hAnsi="Garamond"/>
                <w:b/>
                <w:color w:val="FFFFFF"/>
              </w:rPr>
            </w:pPr>
            <w:r w:rsidRPr="00056442">
              <w:rPr>
                <w:rFonts w:ascii="Garamond" w:eastAsia="Garamond" w:hAnsi="Garamond"/>
                <w:b/>
                <w:color w:val="FFFFFF"/>
              </w:rPr>
              <w:t>Normativa di riferimento</w:t>
            </w:r>
          </w:p>
          <w:p w14:paraId="02B645F2" w14:textId="77777777" w:rsidR="008F700D" w:rsidRPr="00056442" w:rsidRDefault="008F700D" w:rsidP="008F700D">
            <w:pPr>
              <w:widowControl/>
              <w:numPr>
                <w:ilvl w:val="0"/>
                <w:numId w:val="24"/>
              </w:numPr>
              <w:pBdr>
                <w:top w:val="nil"/>
                <w:left w:val="nil"/>
                <w:bottom w:val="nil"/>
                <w:right w:val="nil"/>
                <w:between w:val="nil"/>
              </w:pBdr>
              <w:autoSpaceDE/>
              <w:autoSpaceDN/>
              <w:spacing w:after="120" w:line="276" w:lineRule="auto"/>
              <w:jc w:val="both"/>
              <w:rPr>
                <w:rFonts w:ascii="Garamond" w:eastAsia="Garamond" w:hAnsi="Garamond"/>
                <w:color w:val="FFFFFF"/>
              </w:rPr>
            </w:pPr>
            <w:r w:rsidRPr="00056442">
              <w:rPr>
                <w:rFonts w:ascii="Garamond" w:eastAsia="Garamond" w:hAnsi="Garamond"/>
                <w:color w:val="FFFFFF"/>
              </w:rPr>
              <w:t>Disposizioni contenute nel del Regolamento (UE) 2021/241 (Dispositivo per la Ripresa e la Resilienza (RRF);</w:t>
            </w:r>
          </w:p>
          <w:p w14:paraId="25A615BB" w14:textId="77777777" w:rsidR="008F700D" w:rsidRPr="00056442" w:rsidRDefault="008F700D" w:rsidP="008F700D">
            <w:pPr>
              <w:widowControl/>
              <w:numPr>
                <w:ilvl w:val="0"/>
                <w:numId w:val="24"/>
              </w:numPr>
              <w:pBdr>
                <w:top w:val="nil"/>
                <w:left w:val="nil"/>
                <w:bottom w:val="nil"/>
                <w:right w:val="nil"/>
                <w:between w:val="nil"/>
              </w:pBdr>
              <w:autoSpaceDE/>
              <w:autoSpaceDN/>
              <w:spacing w:after="120" w:line="276" w:lineRule="auto"/>
              <w:jc w:val="both"/>
              <w:rPr>
                <w:rFonts w:ascii="Garamond" w:eastAsia="Garamond" w:hAnsi="Garamond"/>
                <w:color w:val="FFFFFF"/>
              </w:rPr>
            </w:pPr>
            <w:r w:rsidRPr="00056442">
              <w:rPr>
                <w:rFonts w:ascii="Garamond" w:eastAsia="Garamond" w:hAnsi="Garamond"/>
                <w:color w:val="FFFFFF"/>
              </w:rPr>
              <w:t>LEGGE 29 luglio 2021, n. 108 Conversione in legge, con modificazioni, del decreto-legge 31 maggio 2021, n. 77, recante “</w:t>
            </w:r>
            <w:r w:rsidRPr="00056442">
              <w:rPr>
                <w:rFonts w:ascii="Garamond" w:eastAsia="Garamond" w:hAnsi="Garamond"/>
                <w:i/>
                <w:color w:val="FFFFFF"/>
              </w:rPr>
              <w:t>Governance del Piano nazionale di ripresa e resilienza e prime misure di rafforzamento delle strutture amministrative e di accelerazione e snellimento delle procedure</w:t>
            </w:r>
            <w:r w:rsidRPr="00056442">
              <w:rPr>
                <w:rFonts w:ascii="Garamond" w:eastAsia="Garamond" w:hAnsi="Garamond"/>
                <w:color w:val="FFFFFF"/>
              </w:rPr>
              <w:t>”.</w:t>
            </w:r>
          </w:p>
          <w:p w14:paraId="6F9C5EFB" w14:textId="77777777" w:rsidR="008F700D" w:rsidRPr="00056442" w:rsidRDefault="008F700D" w:rsidP="008F700D">
            <w:pPr>
              <w:widowControl/>
              <w:numPr>
                <w:ilvl w:val="0"/>
                <w:numId w:val="24"/>
              </w:numPr>
              <w:pBdr>
                <w:top w:val="nil"/>
                <w:left w:val="nil"/>
                <w:bottom w:val="nil"/>
                <w:right w:val="nil"/>
                <w:between w:val="nil"/>
              </w:pBdr>
              <w:autoSpaceDE/>
              <w:autoSpaceDN/>
              <w:spacing w:after="120" w:line="276" w:lineRule="auto"/>
              <w:jc w:val="both"/>
              <w:rPr>
                <w:rFonts w:ascii="Garamond" w:eastAsia="Garamond" w:hAnsi="Garamond"/>
                <w:color w:val="FFFFFF"/>
              </w:rPr>
            </w:pPr>
            <w:r w:rsidRPr="00056442">
              <w:rPr>
                <w:rFonts w:ascii="Garamond" w:eastAsia="Garamond" w:hAnsi="Garamond"/>
                <w:color w:val="FFFFFF"/>
              </w:rPr>
              <w:t>Codice della Privacy (d.lgs. 196/2003) coordinato e aggiornato, da ultimo, con le modifiche apportate dalla legge 27 dicembre 2019, n. 160, dal </w:t>
            </w:r>
            <w:proofErr w:type="spellStart"/>
            <w:r w:rsidRPr="00056442">
              <w:rPr>
                <w:rFonts w:ascii="Garamond" w:eastAsia="Garamond" w:hAnsi="Garamond"/>
                <w:color w:val="FFFFFF"/>
              </w:rPr>
              <w:t>d.l.</w:t>
            </w:r>
            <w:proofErr w:type="spellEnd"/>
            <w:r w:rsidRPr="00056442">
              <w:rPr>
                <w:rFonts w:ascii="Garamond" w:eastAsia="Garamond" w:hAnsi="Garamond"/>
                <w:color w:val="FFFFFF"/>
              </w:rPr>
              <w:t xml:space="preserve"> 14 giugno 2019, n. 53, dal D.M. 15 marzo 2019 e dal decreto di adeguamento </w:t>
            </w:r>
            <w:proofErr w:type="spellStart"/>
            <w:r w:rsidRPr="00056442">
              <w:rPr>
                <w:rFonts w:ascii="Garamond" w:eastAsia="Garamond" w:hAnsi="Garamond"/>
                <w:color w:val="FFFFFF"/>
              </w:rPr>
              <w:t>d.l.</w:t>
            </w:r>
            <w:proofErr w:type="spellEnd"/>
            <w:r w:rsidRPr="00056442">
              <w:rPr>
                <w:rFonts w:ascii="Garamond" w:eastAsia="Garamond" w:hAnsi="Garamond"/>
                <w:color w:val="FFFFFF"/>
              </w:rPr>
              <w:t xml:space="preserve"> 10 agosto 2018, n. 101, alle disposizioni contenute nel Regolamento UE 2016/679 (</w:t>
            </w:r>
            <w:r w:rsidRPr="0004319F">
              <w:rPr>
                <w:rFonts w:ascii="Garamond" w:eastAsia="Garamond" w:hAnsi="Garamond"/>
                <w:i/>
                <w:iCs/>
                <w:color w:val="FFFFFF"/>
              </w:rPr>
              <w:t xml:space="preserve">General data </w:t>
            </w:r>
            <w:proofErr w:type="spellStart"/>
            <w:r w:rsidRPr="0004319F">
              <w:rPr>
                <w:rFonts w:ascii="Garamond" w:eastAsia="Garamond" w:hAnsi="Garamond"/>
                <w:i/>
                <w:iCs/>
                <w:color w:val="FFFFFF"/>
              </w:rPr>
              <w:t>protection</w:t>
            </w:r>
            <w:proofErr w:type="spellEnd"/>
            <w:r w:rsidRPr="0004319F">
              <w:rPr>
                <w:rFonts w:ascii="Garamond" w:eastAsia="Garamond" w:hAnsi="Garamond"/>
                <w:i/>
                <w:iCs/>
                <w:color w:val="FFFFFF"/>
              </w:rPr>
              <w:t xml:space="preserve"> </w:t>
            </w:r>
            <w:proofErr w:type="spellStart"/>
            <w:r w:rsidRPr="0004319F">
              <w:rPr>
                <w:rFonts w:ascii="Garamond" w:eastAsia="Garamond" w:hAnsi="Garamond"/>
                <w:i/>
                <w:iCs/>
                <w:color w:val="FFFFFF"/>
              </w:rPr>
              <w:t>regulation</w:t>
            </w:r>
            <w:proofErr w:type="spellEnd"/>
            <w:r w:rsidRPr="00056442">
              <w:rPr>
                <w:rFonts w:ascii="Garamond" w:eastAsia="Garamond" w:hAnsi="Garamond"/>
                <w:color w:val="FFFFFF"/>
              </w:rPr>
              <w:t xml:space="preserve">, c.d. GDPR Privacy); </w:t>
            </w:r>
          </w:p>
          <w:p w14:paraId="5CF4AEEE" w14:textId="77777777" w:rsidR="008F700D" w:rsidRPr="00056442" w:rsidRDefault="008F700D" w:rsidP="008F700D">
            <w:pPr>
              <w:widowControl/>
              <w:numPr>
                <w:ilvl w:val="0"/>
                <w:numId w:val="24"/>
              </w:numPr>
              <w:pBdr>
                <w:top w:val="nil"/>
                <w:left w:val="nil"/>
                <w:bottom w:val="nil"/>
                <w:right w:val="nil"/>
                <w:between w:val="nil"/>
              </w:pBdr>
              <w:autoSpaceDE/>
              <w:autoSpaceDN/>
              <w:spacing w:after="120" w:line="276" w:lineRule="auto"/>
              <w:jc w:val="both"/>
              <w:rPr>
                <w:rFonts w:ascii="Garamond" w:eastAsia="Garamond" w:hAnsi="Garamond"/>
                <w:color w:val="000000"/>
              </w:rPr>
            </w:pPr>
            <w:r w:rsidRPr="00056442">
              <w:rPr>
                <w:rFonts w:ascii="Garamond" w:eastAsia="Garamond" w:hAnsi="Garamond"/>
                <w:color w:val="FFFFFF"/>
              </w:rPr>
              <w:t>d.lgs. 25 maggio 2016, n. 97, Revisione e semplificazione delle disposizioni in materia di prevenzione della corruzione, pubblicità e trasparenza, correttivo della legge</w:t>
            </w:r>
            <w:hyperlink r:id="rId11">
              <w:r w:rsidRPr="00056442">
                <w:rPr>
                  <w:rFonts w:ascii="Garamond" w:eastAsia="Garamond" w:hAnsi="Garamond"/>
                  <w:color w:val="FFFFFF"/>
                </w:rPr>
                <w:t xml:space="preserve"> n. 190 del 6 novembre 2012 </w:t>
              </w:r>
            </w:hyperlink>
            <w:r w:rsidRPr="00056442">
              <w:rPr>
                <w:rFonts w:ascii="Garamond" w:eastAsia="Garamond" w:hAnsi="Garamond"/>
                <w:color w:val="FFFFFF"/>
              </w:rPr>
              <w:t>e del d.l.</w:t>
            </w:r>
            <w:hyperlink r:id="rId12">
              <w:r w:rsidRPr="00056442">
                <w:rPr>
                  <w:rFonts w:ascii="Garamond" w:eastAsia="Garamond" w:hAnsi="Garamond"/>
                  <w:color w:val="FFFFFF"/>
                </w:rPr>
                <w:t>14 marzo 2013, n. 33</w:t>
              </w:r>
            </w:hyperlink>
            <w:r w:rsidRPr="00056442">
              <w:rPr>
                <w:rFonts w:ascii="Garamond" w:eastAsia="Garamond" w:hAnsi="Garamond"/>
                <w:color w:val="FFFFFF"/>
              </w:rPr>
              <w:t>, ai sensi dell'</w:t>
            </w:r>
            <w:hyperlink r:id="rId13" w:anchor="07">
              <w:r w:rsidRPr="00056442">
                <w:rPr>
                  <w:rFonts w:ascii="Garamond" w:eastAsia="Garamond" w:hAnsi="Garamond"/>
                  <w:color w:val="FFFFFF"/>
                </w:rPr>
                <w:t>art. 7 della legge n. 124 del 7 agosto 2015,</w:t>
              </w:r>
            </w:hyperlink>
            <w:r w:rsidRPr="00056442">
              <w:rPr>
                <w:rFonts w:ascii="Garamond" w:eastAsia="Garamond" w:hAnsi="Garamond"/>
                <w:color w:val="FFFFFF"/>
              </w:rPr>
              <w:t xml:space="preserve"> in materia di riorganizzazione delle Amministrazioni pubbliche.</w:t>
            </w:r>
          </w:p>
        </w:tc>
      </w:tr>
    </w:tbl>
    <w:p w14:paraId="230DE032" w14:textId="77777777" w:rsidR="008F700D" w:rsidRPr="00056442" w:rsidRDefault="008F700D" w:rsidP="008F700D">
      <w:pPr>
        <w:pBdr>
          <w:top w:val="nil"/>
          <w:left w:val="nil"/>
          <w:bottom w:val="nil"/>
          <w:right w:val="nil"/>
          <w:between w:val="nil"/>
        </w:pBdr>
        <w:spacing w:line="276" w:lineRule="auto"/>
        <w:jc w:val="both"/>
        <w:rPr>
          <w:rFonts w:ascii="Garamond" w:eastAsia="Garamond" w:hAnsi="Garamond"/>
          <w:color w:val="000000"/>
          <w:sz w:val="24"/>
          <w:szCs w:val="24"/>
        </w:rPr>
      </w:pPr>
    </w:p>
    <w:p w14:paraId="665EB0F5" w14:textId="77777777" w:rsidR="008F700D" w:rsidRPr="00056442" w:rsidRDefault="008F700D" w:rsidP="008F700D">
      <w:pPr>
        <w:rPr>
          <w:rFonts w:ascii="Garamond" w:eastAsia="Garamond" w:hAnsi="Garamond"/>
          <w:b/>
          <w:sz w:val="24"/>
          <w:szCs w:val="24"/>
        </w:rPr>
      </w:pPr>
      <w:r w:rsidRPr="00056442">
        <w:rPr>
          <w:rFonts w:ascii="Garamond" w:eastAsia="Garamond" w:hAnsi="Garamond"/>
          <w:b/>
        </w:rPr>
        <w:t xml:space="preserve">2. </w:t>
      </w:r>
      <w:r w:rsidRPr="00056442">
        <w:rPr>
          <w:rFonts w:ascii="Garamond" w:eastAsia="Garamond" w:hAnsi="Garamond"/>
          <w:b/>
          <w:sz w:val="24"/>
          <w:szCs w:val="24"/>
        </w:rPr>
        <w:t>Finalità del trattamento</w:t>
      </w:r>
    </w:p>
    <w:p w14:paraId="59B79C31" w14:textId="77777777" w:rsidR="008F700D" w:rsidRPr="00056442" w:rsidRDefault="008F700D" w:rsidP="008F700D">
      <w:pPr>
        <w:jc w:val="both"/>
        <w:rPr>
          <w:rFonts w:ascii="Garamond" w:eastAsia="Garamond" w:hAnsi="Garamond"/>
          <w:sz w:val="24"/>
          <w:szCs w:val="24"/>
        </w:rPr>
      </w:pPr>
      <w:r w:rsidRPr="00056442">
        <w:rPr>
          <w:rFonts w:ascii="Garamond" w:eastAsia="Garamond" w:hAnsi="Garamond"/>
          <w:sz w:val="24"/>
          <w:szCs w:val="24"/>
        </w:rPr>
        <w:t>I dati personali, trasmessi anche attraverso compilazione e inoltro di moduli, vengono trattati per rispondere alle richieste degli interessati, istruire un procedimento amministrativo (in questo caso la finalità viene perseguita durante tutta la fase di gestione della procedura di accesso alle agevolazioni, incluse quella endoprocedimentale, procedimentale, istruttoria e di erogazione dell’agevolazione), oltre che per assolvere eventuali obblighi di legge, contabili e fiscali.</w:t>
      </w:r>
    </w:p>
    <w:p w14:paraId="73EFE0EF" w14:textId="77777777" w:rsidR="008F700D" w:rsidRPr="00056442" w:rsidRDefault="008F700D" w:rsidP="008F700D">
      <w:pPr>
        <w:spacing w:before="120" w:after="120"/>
        <w:jc w:val="both"/>
        <w:rPr>
          <w:rFonts w:ascii="Garamond" w:eastAsia="Garamond" w:hAnsi="Garamond"/>
          <w:b/>
          <w:sz w:val="24"/>
          <w:szCs w:val="24"/>
          <w:u w:val="single"/>
        </w:rPr>
      </w:pPr>
      <w:r w:rsidRPr="00056442">
        <w:rPr>
          <w:rFonts w:ascii="Garamond" w:eastAsia="Garamond" w:hAnsi="Garamond"/>
          <w:b/>
          <w:sz w:val="24"/>
          <w:szCs w:val="24"/>
          <w:u w:val="single"/>
        </w:rPr>
        <w:t>Conferimento dati nell’ambito delle iniziative PNRR</w:t>
      </w:r>
    </w:p>
    <w:p w14:paraId="5495288F" w14:textId="77777777" w:rsidR="008F700D" w:rsidRPr="00056442" w:rsidRDefault="008F700D" w:rsidP="008F700D">
      <w:pPr>
        <w:spacing w:before="120" w:after="120"/>
        <w:jc w:val="both"/>
        <w:rPr>
          <w:rFonts w:ascii="Garamond" w:eastAsia="Garamond" w:hAnsi="Garamond"/>
          <w:color w:val="000000"/>
          <w:sz w:val="24"/>
          <w:szCs w:val="24"/>
        </w:rPr>
      </w:pPr>
      <w:r w:rsidRPr="00056442">
        <w:rPr>
          <w:rFonts w:ascii="Garamond" w:eastAsia="Garamond" w:hAnsi="Garamond"/>
          <w:sz w:val="24"/>
          <w:szCs w:val="24"/>
        </w:rPr>
        <w:t xml:space="preserve">In ottemperanza alle disposizioni previste nel </w:t>
      </w:r>
      <w:r w:rsidRPr="00056442">
        <w:rPr>
          <w:rFonts w:ascii="Garamond" w:eastAsia="Garamond" w:hAnsi="Garamond"/>
          <w:color w:val="000000"/>
          <w:sz w:val="24"/>
          <w:szCs w:val="24"/>
        </w:rPr>
        <w:t xml:space="preserve">Dispositivo per la Ripresa e la Resilienza (RRF) e dal Decreto Legge 77 del 2021 convertito in Legge 29 luglio 2021, n. 108 </w:t>
      </w:r>
    </w:p>
    <w:p w14:paraId="7941D9FA" w14:textId="77777777" w:rsidR="008F700D" w:rsidRPr="00056442" w:rsidRDefault="008F700D" w:rsidP="008F700D">
      <w:pPr>
        <w:widowControl/>
        <w:numPr>
          <w:ilvl w:val="0"/>
          <w:numId w:val="27"/>
        </w:numPr>
        <w:pBdr>
          <w:top w:val="nil"/>
          <w:left w:val="nil"/>
          <w:bottom w:val="nil"/>
          <w:right w:val="nil"/>
          <w:between w:val="nil"/>
        </w:pBdr>
        <w:autoSpaceDE/>
        <w:autoSpaceDN/>
        <w:spacing w:before="120"/>
        <w:jc w:val="both"/>
        <w:rPr>
          <w:rFonts w:ascii="Garamond" w:eastAsia="Garamond" w:hAnsi="Garamond"/>
          <w:color w:val="000000"/>
          <w:sz w:val="24"/>
          <w:szCs w:val="24"/>
        </w:rPr>
      </w:pPr>
      <w:r w:rsidRPr="00056442">
        <w:rPr>
          <w:rFonts w:ascii="Garamond" w:eastAsia="Garamond" w:hAnsi="Garamond"/>
          <w:color w:val="000000"/>
          <w:sz w:val="24"/>
          <w:szCs w:val="24"/>
        </w:rPr>
        <w:t xml:space="preserve">al </w:t>
      </w:r>
      <w:r w:rsidRPr="00056442">
        <w:rPr>
          <w:rFonts w:ascii="Garamond" w:eastAsia="Garamond" w:hAnsi="Garamond"/>
          <w:b/>
          <w:color w:val="000000"/>
          <w:sz w:val="24"/>
          <w:szCs w:val="24"/>
        </w:rPr>
        <w:t>Soggetto attuatore</w:t>
      </w:r>
      <w:r w:rsidRPr="00056442">
        <w:rPr>
          <w:rFonts w:ascii="Garamond" w:eastAsia="Garamond" w:hAnsi="Garamond"/>
          <w:color w:val="000000"/>
          <w:sz w:val="24"/>
          <w:szCs w:val="24"/>
        </w:rPr>
        <w:t xml:space="preserve"> è demandata l’attuazione dei singoli progetti finanziati nell’ambito del PNRR. Il Soggetto Attuatore è responsabile dell’avvio, dell’attuazione e della funzionalità dei singoli interventi, della regolarità delle procedure e delle spese rendicontate a valere sulle risorse del PNRR, </w:t>
      </w:r>
      <w:r w:rsidRPr="00056442">
        <w:rPr>
          <w:rFonts w:ascii="Garamond" w:eastAsia="Garamond" w:hAnsi="Garamond"/>
          <w:color w:val="000000"/>
          <w:sz w:val="24"/>
          <w:szCs w:val="24"/>
        </w:rPr>
        <w:lastRenderedPageBreak/>
        <w:t xml:space="preserve">nonché del monitoraggio circa il conseguimento dei valori definiti per gli indicatori associati ai propri progetti; </w:t>
      </w:r>
    </w:p>
    <w:p w14:paraId="6E543877" w14:textId="77777777" w:rsidR="008F700D" w:rsidRDefault="008F700D" w:rsidP="008F700D">
      <w:pPr>
        <w:widowControl/>
        <w:numPr>
          <w:ilvl w:val="0"/>
          <w:numId w:val="27"/>
        </w:numPr>
        <w:pBdr>
          <w:top w:val="nil"/>
          <w:left w:val="nil"/>
          <w:bottom w:val="nil"/>
          <w:right w:val="nil"/>
          <w:between w:val="nil"/>
        </w:pBdr>
        <w:autoSpaceDE/>
        <w:autoSpaceDN/>
        <w:spacing w:after="120"/>
        <w:jc w:val="both"/>
        <w:rPr>
          <w:rFonts w:ascii="Garamond" w:eastAsia="Garamond" w:hAnsi="Garamond"/>
          <w:color w:val="000000"/>
          <w:sz w:val="24"/>
          <w:szCs w:val="24"/>
        </w:rPr>
      </w:pPr>
      <w:r>
        <w:rPr>
          <w:rFonts w:ascii="Garamond" w:eastAsia="Garamond" w:hAnsi="Garamond"/>
          <w:b/>
          <w:color w:val="000000"/>
          <w:sz w:val="24"/>
          <w:szCs w:val="24"/>
        </w:rPr>
        <w:t>l</w:t>
      </w:r>
      <w:r w:rsidRPr="00056442">
        <w:rPr>
          <w:rFonts w:ascii="Garamond" w:eastAsia="Garamond" w:hAnsi="Garamond"/>
          <w:b/>
          <w:color w:val="000000"/>
          <w:sz w:val="24"/>
          <w:szCs w:val="24"/>
        </w:rPr>
        <w:t>’Amministrazione centrale titolare di interventi</w:t>
      </w:r>
      <w:r w:rsidRPr="00056442">
        <w:rPr>
          <w:rFonts w:ascii="Garamond" w:eastAsia="Garamond" w:hAnsi="Garamond"/>
          <w:color w:val="000000"/>
          <w:sz w:val="24"/>
          <w:szCs w:val="24"/>
        </w:rPr>
        <w:t xml:space="preserve">, per il tramite delle funzioni preposte, deve assicurare il monitoraggio e il presidio continuo dell’attuazione dei progetti, verificando da un lato l’avanzamento dei dati finanziari, di realizzazione fisica e procedurale degli investimenti e delle riforme e dall’altro il livello di conseguimento di milestone e target, nonché di tutti gli ulteriori elementi informativi necessari per la rendicontazione alla Commissione Europea, attraverso le specifiche funzionalità del sistema informatico </w:t>
      </w:r>
      <w:proofErr w:type="spellStart"/>
      <w:r w:rsidRPr="00056442">
        <w:rPr>
          <w:rFonts w:ascii="Garamond" w:eastAsia="Garamond" w:hAnsi="Garamond"/>
          <w:color w:val="000000"/>
          <w:sz w:val="24"/>
          <w:szCs w:val="24"/>
        </w:rPr>
        <w:t>ReGiS</w:t>
      </w:r>
      <w:proofErr w:type="spellEnd"/>
      <w:r w:rsidRPr="00056442">
        <w:rPr>
          <w:rFonts w:ascii="Garamond" w:eastAsia="Garamond" w:hAnsi="Garamond"/>
          <w:color w:val="000000"/>
          <w:sz w:val="24"/>
          <w:szCs w:val="24"/>
        </w:rPr>
        <w:t xml:space="preserve">, messo a disposizione dal Servizio centrale per il PNRR o di altri sistemi locali adottati per lo scambio elettronico dei dati coerenti con i requisiti tecnici e gestionali descritti al comma 4 dell’art. 3 del DPCM Monitoraggio. A tal fine, le stesse Amministrazioni centrali sono chiamate, per i progetti di propria competenza, ad assicurare registrazione, raccolta, validazione e trasmissione dei dati di monitoraggio, ivi inclusi quelli rilevati dai soggetti attuatori, delle agevolazioni finanziarie concesse nell’ambito del Piano Nazionale di Ripresa e Resilienza e ad assicurare la registrazione, la conservazione, la tracciabilità e l’affidabilità dei dati oggetto d’osservazione. </w:t>
      </w:r>
    </w:p>
    <w:p w14:paraId="1ADA75F1" w14:textId="15C0613A" w:rsidR="008F700D" w:rsidRDefault="008F700D" w:rsidP="000D0502">
      <w:pPr>
        <w:pBdr>
          <w:top w:val="nil"/>
          <w:left w:val="nil"/>
          <w:bottom w:val="nil"/>
          <w:right w:val="nil"/>
          <w:between w:val="nil"/>
        </w:pBdr>
        <w:spacing w:after="120"/>
        <w:jc w:val="both"/>
        <w:rPr>
          <w:rFonts w:ascii="Garamond" w:eastAsia="Garamond" w:hAnsi="Garamond"/>
          <w:color w:val="000000"/>
          <w:sz w:val="24"/>
          <w:szCs w:val="24"/>
        </w:rPr>
      </w:pPr>
      <w:r w:rsidRPr="001D13EA">
        <w:rPr>
          <w:rFonts w:ascii="Garamond" w:eastAsia="Garamond" w:hAnsi="Garamond"/>
          <w:color w:val="000000"/>
          <w:sz w:val="24"/>
          <w:szCs w:val="24"/>
        </w:rPr>
        <w:t xml:space="preserve">Il conferimento dei dati è necessario con riferimento alle modalità di cui agli artt. 38, 46 e 47 del D.P.R. n. 445/2000 per l’adempimento di obblighi di legge, previsti da normative regionali, nazionali ed europee, e per la presentazione </w:t>
      </w:r>
      <w:r w:rsidR="007251A6" w:rsidRPr="001D13EA">
        <w:rPr>
          <w:rFonts w:ascii="Garamond" w:eastAsia="Garamond" w:hAnsi="Garamond"/>
          <w:color w:val="000000"/>
          <w:sz w:val="24"/>
          <w:szCs w:val="24"/>
        </w:rPr>
        <w:t xml:space="preserve">della </w:t>
      </w:r>
      <w:r w:rsidR="008446D8" w:rsidRPr="001D13EA">
        <w:rPr>
          <w:rFonts w:ascii="Garamond" w:eastAsia="Garamond" w:hAnsi="Garamond"/>
          <w:color w:val="000000"/>
          <w:sz w:val="24"/>
          <w:szCs w:val="24"/>
        </w:rPr>
        <w:t>richiesta</w:t>
      </w:r>
      <w:r w:rsidR="007251A6" w:rsidRPr="001D13EA">
        <w:rPr>
          <w:rFonts w:ascii="Garamond" w:eastAsia="Garamond" w:hAnsi="Garamond"/>
          <w:color w:val="000000"/>
          <w:sz w:val="24"/>
          <w:szCs w:val="24"/>
        </w:rPr>
        <w:t xml:space="preserve"> di cui all’ Avviso pubblico </w:t>
      </w:r>
      <w:r w:rsidR="000D0502" w:rsidRPr="001D13EA">
        <w:rPr>
          <w:rFonts w:ascii="Garamond" w:eastAsia="Garamond" w:hAnsi="Garamond"/>
          <w:color w:val="000000"/>
          <w:sz w:val="24"/>
          <w:szCs w:val="24"/>
        </w:rPr>
        <w:t>“Bonus per la partecipazione alla formazione GOL” per l’attuazione del Programma Garanzia Occupabilità dei Lavoratori da finanziare nell’ambito del Piano Nazionale di Ripresa e Resilienza (PNRR), Missione 5 “Inclusione e coesione”, Componente 1 " Politiche per il Lavoro”, Riforma 1.1 “Politiche Attive del Lavoro e Formazione”, finanziato dall’Unione europea – Next Generation EU</w:t>
      </w:r>
      <w:r w:rsidR="00BF20CE" w:rsidRPr="001D13EA">
        <w:rPr>
          <w:rFonts w:ascii="Garamond" w:eastAsia="Garamond" w:hAnsi="Garamond"/>
          <w:color w:val="000000"/>
          <w:sz w:val="24"/>
          <w:szCs w:val="24"/>
        </w:rPr>
        <w:t>.</w:t>
      </w:r>
      <w:r w:rsidR="007251A6" w:rsidRPr="001D13EA">
        <w:rPr>
          <w:rFonts w:ascii="Garamond" w:hAnsi="Garamond"/>
          <w:sz w:val="24"/>
          <w:szCs w:val="24"/>
        </w:rPr>
        <w:t xml:space="preserve"> </w:t>
      </w:r>
      <w:r w:rsidRPr="001D13EA">
        <w:rPr>
          <w:rFonts w:ascii="Garamond" w:eastAsia="Garamond" w:hAnsi="Garamond"/>
          <w:color w:val="000000"/>
          <w:sz w:val="24"/>
          <w:szCs w:val="24"/>
        </w:rPr>
        <w:t xml:space="preserve">Il mancato conferimento dei dati personali non consentirà la partecipazione </w:t>
      </w:r>
      <w:r w:rsidR="007251A6" w:rsidRPr="001D13EA">
        <w:rPr>
          <w:rFonts w:ascii="Garamond" w:eastAsia="Garamond" w:hAnsi="Garamond"/>
          <w:color w:val="000000"/>
          <w:sz w:val="24"/>
          <w:szCs w:val="24"/>
        </w:rPr>
        <w:t>alla presente procedura</w:t>
      </w:r>
      <w:r w:rsidRPr="00BF20CE">
        <w:rPr>
          <w:rFonts w:ascii="Garamond" w:eastAsia="Garamond" w:hAnsi="Garamond"/>
          <w:color w:val="000000"/>
          <w:sz w:val="24"/>
          <w:szCs w:val="24"/>
        </w:rPr>
        <w:t>.</w:t>
      </w:r>
    </w:p>
    <w:p w14:paraId="49EB5672" w14:textId="77777777" w:rsidR="008F700D" w:rsidRPr="00056442" w:rsidRDefault="008F700D" w:rsidP="008F700D">
      <w:pPr>
        <w:pBdr>
          <w:top w:val="nil"/>
          <w:left w:val="nil"/>
          <w:bottom w:val="nil"/>
          <w:right w:val="nil"/>
          <w:between w:val="nil"/>
        </w:pBdr>
        <w:jc w:val="both"/>
        <w:rPr>
          <w:rFonts w:ascii="Garamond" w:eastAsia="Garamond" w:hAnsi="Garamond"/>
          <w:b/>
          <w:color w:val="000000"/>
          <w:sz w:val="24"/>
          <w:szCs w:val="24"/>
          <w:u w:val="single"/>
        </w:rPr>
      </w:pPr>
      <w:r w:rsidRPr="00056442">
        <w:rPr>
          <w:rFonts w:ascii="Garamond" w:eastAsia="Garamond" w:hAnsi="Garamond"/>
          <w:b/>
          <w:color w:val="000000"/>
          <w:sz w:val="24"/>
          <w:szCs w:val="24"/>
          <w:u w:val="single"/>
        </w:rPr>
        <w:t>Tipologie di dati conferiti</w:t>
      </w:r>
    </w:p>
    <w:p w14:paraId="64604095" w14:textId="77777777" w:rsidR="008F700D" w:rsidRPr="00056442" w:rsidRDefault="008F700D" w:rsidP="008F700D">
      <w:pPr>
        <w:spacing w:before="120"/>
        <w:jc w:val="both"/>
        <w:rPr>
          <w:rFonts w:ascii="Garamond" w:eastAsia="Garamond" w:hAnsi="Garamond"/>
          <w:sz w:val="24"/>
          <w:szCs w:val="24"/>
        </w:rPr>
      </w:pPr>
      <w:r w:rsidRPr="00056442">
        <w:rPr>
          <w:rFonts w:ascii="Garamond" w:eastAsia="Garamond" w:hAnsi="Garamond"/>
          <w:sz w:val="24"/>
          <w:szCs w:val="24"/>
        </w:rPr>
        <w:t>Per realizzare gli adempimenti sopra descritti,</w:t>
      </w:r>
      <w:r w:rsidRPr="00056442">
        <w:rPr>
          <w:rFonts w:ascii="Garamond" w:eastAsia="Garamond" w:hAnsi="Garamond"/>
          <w:color w:val="000000"/>
          <w:sz w:val="24"/>
          <w:szCs w:val="24"/>
        </w:rPr>
        <w:t xml:space="preserve"> i Soggetti Attuatori </w:t>
      </w:r>
      <w:r w:rsidRPr="00056442">
        <w:rPr>
          <w:rFonts w:ascii="Garamond" w:eastAsia="Garamond" w:hAnsi="Garamond"/>
          <w:sz w:val="24"/>
          <w:szCs w:val="24"/>
        </w:rPr>
        <w:t xml:space="preserve">sono chiamati a svolgere una costante e completa attività di rilevazione dei dati afferenti ai progetti finanziati, registrando le informazioni ricomprese nel set minimo di dati di attuazione finanziaria, fisica e procedurale da raccogliere, conservare e trasmettere, individuato all’interno del Protocollo Unico di Colloquio v. 2.2 di novembre 2020 e </w:t>
      </w:r>
      <w:proofErr w:type="spellStart"/>
      <w:r w:rsidRPr="00056442">
        <w:rPr>
          <w:rFonts w:ascii="Garamond" w:eastAsia="Garamond" w:hAnsi="Garamond"/>
          <w:sz w:val="24"/>
          <w:szCs w:val="24"/>
        </w:rPr>
        <w:t>s.m.i.</w:t>
      </w:r>
      <w:proofErr w:type="spellEnd"/>
      <w:r w:rsidRPr="00056442">
        <w:rPr>
          <w:rFonts w:ascii="Garamond" w:eastAsia="Garamond" w:hAnsi="Garamond"/>
          <w:sz w:val="24"/>
          <w:szCs w:val="24"/>
        </w:rPr>
        <w:t xml:space="preserve"> di cui alla Circolare MEF n. 18 del 30 aprile 2014 revisionato sulla base delle specificità attuative del PNRR e comunicato tramite apposita nota circolare del Servizio Centrale per il PNRR. </w:t>
      </w:r>
    </w:p>
    <w:p w14:paraId="5B9A86EB" w14:textId="77777777" w:rsidR="008F700D" w:rsidRPr="00056442" w:rsidRDefault="008F700D" w:rsidP="008F700D">
      <w:pPr>
        <w:spacing w:before="120" w:after="120"/>
        <w:jc w:val="both"/>
        <w:rPr>
          <w:rFonts w:ascii="Garamond" w:eastAsia="Garamond" w:hAnsi="Garamond"/>
          <w:sz w:val="24"/>
          <w:szCs w:val="24"/>
        </w:rPr>
      </w:pPr>
      <w:r w:rsidRPr="00056442">
        <w:rPr>
          <w:rFonts w:ascii="Garamond" w:eastAsia="Garamond" w:hAnsi="Garamond"/>
          <w:sz w:val="24"/>
          <w:szCs w:val="24"/>
        </w:rPr>
        <w:t xml:space="preserve">A titolo non esaustivo si indicano le principali informazioni oggetto di rilevazione: </w:t>
      </w:r>
    </w:p>
    <w:p w14:paraId="5236C9B3" w14:textId="77777777" w:rsidR="008F700D" w:rsidRPr="00056442" w:rsidRDefault="008F700D" w:rsidP="008F700D">
      <w:pPr>
        <w:widowControl/>
        <w:numPr>
          <w:ilvl w:val="0"/>
          <w:numId w:val="25"/>
        </w:numPr>
        <w:pBdr>
          <w:top w:val="nil"/>
          <w:left w:val="nil"/>
          <w:bottom w:val="nil"/>
          <w:right w:val="nil"/>
          <w:between w:val="nil"/>
        </w:pBdr>
        <w:autoSpaceDE/>
        <w:autoSpaceDN/>
        <w:spacing w:before="120"/>
        <w:ind w:left="714" w:hanging="357"/>
        <w:jc w:val="both"/>
        <w:rPr>
          <w:rFonts w:ascii="Garamond" w:eastAsia="Garamond" w:hAnsi="Garamond"/>
          <w:color w:val="000000"/>
          <w:sz w:val="24"/>
          <w:szCs w:val="24"/>
        </w:rPr>
      </w:pPr>
      <w:r w:rsidRPr="00056442">
        <w:rPr>
          <w:rFonts w:ascii="Garamond" w:eastAsia="Garamond" w:hAnsi="Garamond"/>
          <w:color w:val="000000"/>
          <w:sz w:val="24"/>
          <w:szCs w:val="24"/>
        </w:rPr>
        <w:t>dati anagrafici del progetto e classificazioni identificative, quali CUP, CIG, identificativo del progetto, riferimenti alla Missione/Componente/Misura di riferimento, identificativo del Soggetto attuatore, tipologia di progetto, localizzazione;</w:t>
      </w:r>
    </w:p>
    <w:p w14:paraId="09B7161F" w14:textId="5EFE3CF6" w:rsidR="00C63DDE" w:rsidRPr="00FC3B56" w:rsidRDefault="008F700D" w:rsidP="007E54B2">
      <w:pPr>
        <w:widowControl/>
        <w:numPr>
          <w:ilvl w:val="0"/>
          <w:numId w:val="25"/>
        </w:numPr>
        <w:pBdr>
          <w:top w:val="nil"/>
          <w:left w:val="nil"/>
          <w:bottom w:val="nil"/>
          <w:right w:val="nil"/>
          <w:between w:val="nil"/>
        </w:pBdr>
        <w:autoSpaceDE/>
        <w:autoSpaceDN/>
        <w:ind w:left="714" w:hanging="357"/>
        <w:jc w:val="both"/>
        <w:rPr>
          <w:rFonts w:ascii="Garamond" w:eastAsia="Garamond" w:hAnsi="Garamond"/>
          <w:color w:val="000000"/>
          <w:sz w:val="24"/>
          <w:szCs w:val="24"/>
        </w:rPr>
      </w:pPr>
      <w:r w:rsidRPr="00FC3B56">
        <w:rPr>
          <w:rFonts w:ascii="Garamond" w:eastAsia="Garamond" w:hAnsi="Garamond"/>
          <w:color w:val="000000"/>
          <w:sz w:val="24"/>
          <w:szCs w:val="24"/>
        </w:rPr>
        <w:t>dati relativi ai soggetti coinvolti nell’attuazione, quali i Soggetti attuatori, realizzatori, destinatari degli interventi, incluso codice fiscale e/o partita IV</w:t>
      </w:r>
      <w:r w:rsidR="00FC3B56">
        <w:rPr>
          <w:rFonts w:ascii="Garamond" w:eastAsia="Garamond" w:hAnsi="Garamond"/>
          <w:color w:val="000000"/>
          <w:sz w:val="24"/>
          <w:szCs w:val="24"/>
        </w:rPr>
        <w:t>A</w:t>
      </w:r>
      <w:r w:rsidR="00C63DDE">
        <w:t>;</w:t>
      </w:r>
    </w:p>
    <w:p w14:paraId="53C774F7" w14:textId="77777777" w:rsidR="008F700D" w:rsidRPr="00056442" w:rsidRDefault="008F700D" w:rsidP="008F700D">
      <w:pPr>
        <w:widowControl/>
        <w:numPr>
          <w:ilvl w:val="0"/>
          <w:numId w:val="26"/>
        </w:numPr>
        <w:pBdr>
          <w:top w:val="nil"/>
          <w:left w:val="nil"/>
          <w:bottom w:val="nil"/>
          <w:right w:val="nil"/>
          <w:between w:val="nil"/>
        </w:pBdr>
        <w:autoSpaceDE/>
        <w:autoSpaceDN/>
        <w:ind w:left="714" w:hanging="357"/>
        <w:jc w:val="both"/>
        <w:rPr>
          <w:rFonts w:ascii="Garamond" w:eastAsia="Garamond" w:hAnsi="Garamond"/>
          <w:color w:val="000000"/>
          <w:sz w:val="24"/>
          <w:szCs w:val="24"/>
        </w:rPr>
      </w:pPr>
      <w:r w:rsidRPr="00056442">
        <w:rPr>
          <w:rFonts w:ascii="Garamond" w:eastAsia="Garamond" w:hAnsi="Garamond"/>
          <w:color w:val="000000"/>
          <w:sz w:val="24"/>
          <w:szCs w:val="24"/>
        </w:rPr>
        <w:t>dati finanziari, quali importo finanziato, eventuali altre fonti di finanziamento, quadro economico e relative voci di spesa, impegni contabili, impegni giuridicamente vincolanti, spese, pagamenti, recuperi, trasferimenti erogati;</w:t>
      </w:r>
    </w:p>
    <w:p w14:paraId="25DF040B" w14:textId="77777777" w:rsidR="008F700D" w:rsidRPr="00056442" w:rsidRDefault="008F700D" w:rsidP="008F700D">
      <w:pPr>
        <w:widowControl/>
        <w:numPr>
          <w:ilvl w:val="0"/>
          <w:numId w:val="26"/>
        </w:numPr>
        <w:pBdr>
          <w:top w:val="nil"/>
          <w:left w:val="nil"/>
          <w:bottom w:val="nil"/>
          <w:right w:val="nil"/>
          <w:between w:val="nil"/>
        </w:pBdr>
        <w:autoSpaceDE/>
        <w:autoSpaceDN/>
        <w:ind w:left="714" w:hanging="357"/>
        <w:jc w:val="both"/>
        <w:rPr>
          <w:rFonts w:ascii="Garamond" w:eastAsia="Garamond" w:hAnsi="Garamond"/>
          <w:color w:val="000000"/>
          <w:sz w:val="24"/>
          <w:szCs w:val="24"/>
        </w:rPr>
      </w:pPr>
      <w:r w:rsidRPr="00056442">
        <w:rPr>
          <w:rFonts w:ascii="Garamond" w:eastAsia="Garamond" w:hAnsi="Garamond"/>
          <w:color w:val="000000"/>
          <w:sz w:val="24"/>
          <w:szCs w:val="24"/>
        </w:rPr>
        <w:t xml:space="preserve">dati procedurali, quali cronoprogramma e </w:t>
      </w:r>
      <w:r w:rsidRPr="00056442">
        <w:rPr>
          <w:rFonts w:ascii="Garamond" w:eastAsia="Garamond" w:hAnsi="Garamond"/>
          <w:i/>
          <w:color w:val="000000"/>
          <w:sz w:val="24"/>
          <w:szCs w:val="24"/>
        </w:rPr>
        <w:t>step</w:t>
      </w:r>
      <w:r w:rsidRPr="00056442">
        <w:rPr>
          <w:rFonts w:ascii="Garamond" w:eastAsia="Garamond" w:hAnsi="Garamond"/>
          <w:color w:val="000000"/>
          <w:sz w:val="24"/>
          <w:szCs w:val="24"/>
        </w:rPr>
        <w:t xml:space="preserve"> relativi alle diverse procedure di gara (es: affidamento lavori, acquisto beni e servizi) con indicazione della relativa tempistica e delle pertinenti voci di spesa;</w:t>
      </w:r>
    </w:p>
    <w:p w14:paraId="77AAEB71" w14:textId="77777777" w:rsidR="008F700D" w:rsidRPr="00056442" w:rsidRDefault="008F700D" w:rsidP="008F700D">
      <w:pPr>
        <w:widowControl/>
        <w:numPr>
          <w:ilvl w:val="0"/>
          <w:numId w:val="26"/>
        </w:numPr>
        <w:pBdr>
          <w:top w:val="nil"/>
          <w:left w:val="nil"/>
          <w:bottom w:val="nil"/>
          <w:right w:val="nil"/>
          <w:between w:val="nil"/>
        </w:pBdr>
        <w:autoSpaceDE/>
        <w:autoSpaceDN/>
        <w:ind w:left="714" w:hanging="357"/>
        <w:jc w:val="both"/>
        <w:rPr>
          <w:rFonts w:ascii="Garamond" w:eastAsia="Garamond" w:hAnsi="Garamond"/>
          <w:color w:val="000000"/>
          <w:sz w:val="24"/>
          <w:szCs w:val="24"/>
        </w:rPr>
      </w:pPr>
      <w:r w:rsidRPr="00056442">
        <w:rPr>
          <w:rFonts w:ascii="Garamond" w:eastAsia="Garamond" w:hAnsi="Garamond"/>
          <w:color w:val="000000"/>
          <w:sz w:val="24"/>
          <w:szCs w:val="24"/>
        </w:rPr>
        <w:t xml:space="preserve">dati fisici, (previsti e realizzati) quali indicatori di output (progressi compiuti) e di </w:t>
      </w:r>
      <w:proofErr w:type="spellStart"/>
      <w:r w:rsidRPr="00056442">
        <w:rPr>
          <w:rFonts w:ascii="Garamond" w:eastAsia="Garamond" w:hAnsi="Garamond"/>
          <w:color w:val="000000"/>
          <w:sz w:val="24"/>
          <w:szCs w:val="24"/>
        </w:rPr>
        <w:t>outcome</w:t>
      </w:r>
      <w:proofErr w:type="spellEnd"/>
      <w:r w:rsidRPr="00056442">
        <w:rPr>
          <w:rFonts w:ascii="Garamond" w:eastAsia="Garamond" w:hAnsi="Garamond"/>
          <w:color w:val="000000"/>
          <w:sz w:val="24"/>
          <w:szCs w:val="24"/>
        </w:rPr>
        <w:t xml:space="preserve"> (effetti generati) attraverso la valorizzazione di un set di indicatori specifico e la raccolta e catalogazione di documentazione a supporto;</w:t>
      </w:r>
    </w:p>
    <w:p w14:paraId="731738E5" w14:textId="77777777" w:rsidR="008F700D" w:rsidRPr="00056442" w:rsidRDefault="008F700D" w:rsidP="008F700D">
      <w:pPr>
        <w:widowControl/>
        <w:numPr>
          <w:ilvl w:val="0"/>
          <w:numId w:val="26"/>
        </w:numPr>
        <w:pBdr>
          <w:top w:val="nil"/>
          <w:left w:val="nil"/>
          <w:bottom w:val="nil"/>
          <w:right w:val="nil"/>
          <w:between w:val="nil"/>
        </w:pBdr>
        <w:autoSpaceDE/>
        <w:autoSpaceDN/>
        <w:ind w:left="714" w:hanging="357"/>
        <w:jc w:val="both"/>
        <w:rPr>
          <w:rFonts w:ascii="Garamond" w:eastAsia="Garamond" w:hAnsi="Garamond"/>
          <w:color w:val="000000"/>
          <w:sz w:val="24"/>
          <w:szCs w:val="24"/>
        </w:rPr>
      </w:pPr>
      <w:r w:rsidRPr="00056442">
        <w:rPr>
          <w:rFonts w:ascii="Garamond" w:eastAsia="Garamond" w:hAnsi="Garamond"/>
          <w:color w:val="000000"/>
          <w:sz w:val="24"/>
          <w:szCs w:val="24"/>
        </w:rPr>
        <w:t xml:space="preserve">livello di conseguimento di </w:t>
      </w:r>
      <w:r w:rsidRPr="00056442">
        <w:rPr>
          <w:rFonts w:ascii="Garamond" w:eastAsia="Garamond" w:hAnsi="Garamond"/>
          <w:i/>
          <w:color w:val="000000"/>
          <w:sz w:val="24"/>
          <w:szCs w:val="24"/>
        </w:rPr>
        <w:t>milestone</w:t>
      </w:r>
      <w:r w:rsidRPr="00056442">
        <w:rPr>
          <w:rFonts w:ascii="Garamond" w:eastAsia="Garamond" w:hAnsi="Garamond"/>
          <w:color w:val="000000"/>
          <w:sz w:val="24"/>
          <w:szCs w:val="24"/>
        </w:rPr>
        <w:t xml:space="preserve"> e </w:t>
      </w:r>
      <w:r w:rsidRPr="00056442">
        <w:rPr>
          <w:rFonts w:ascii="Garamond" w:eastAsia="Garamond" w:hAnsi="Garamond"/>
          <w:i/>
          <w:color w:val="000000"/>
          <w:sz w:val="24"/>
          <w:szCs w:val="24"/>
        </w:rPr>
        <w:t>target</w:t>
      </w:r>
      <w:r w:rsidRPr="00056442">
        <w:rPr>
          <w:rFonts w:ascii="Garamond" w:eastAsia="Garamond" w:hAnsi="Garamond"/>
          <w:color w:val="000000"/>
          <w:sz w:val="24"/>
          <w:szCs w:val="24"/>
        </w:rPr>
        <w:t>, per gli interventi che concorrono al loro raggiungimento;</w:t>
      </w:r>
    </w:p>
    <w:p w14:paraId="5CEEAA4B" w14:textId="77777777" w:rsidR="008F700D" w:rsidRPr="00056442" w:rsidRDefault="008F700D" w:rsidP="008F700D">
      <w:pPr>
        <w:widowControl/>
        <w:numPr>
          <w:ilvl w:val="0"/>
          <w:numId w:val="26"/>
        </w:numPr>
        <w:pBdr>
          <w:top w:val="nil"/>
          <w:left w:val="nil"/>
          <w:bottom w:val="nil"/>
          <w:right w:val="nil"/>
          <w:between w:val="nil"/>
        </w:pBdr>
        <w:autoSpaceDE/>
        <w:autoSpaceDN/>
        <w:ind w:left="714" w:hanging="357"/>
        <w:jc w:val="both"/>
        <w:rPr>
          <w:rFonts w:ascii="Garamond" w:eastAsia="Garamond" w:hAnsi="Garamond"/>
          <w:color w:val="000000"/>
          <w:sz w:val="24"/>
          <w:szCs w:val="24"/>
        </w:rPr>
      </w:pPr>
      <w:r w:rsidRPr="00056442">
        <w:rPr>
          <w:rFonts w:ascii="Garamond" w:eastAsia="Garamond" w:hAnsi="Garamond"/>
          <w:color w:val="000000"/>
          <w:sz w:val="24"/>
          <w:szCs w:val="24"/>
        </w:rPr>
        <w:t xml:space="preserve">dati relativi all’aggiornamento trimestrale relativo all’analisi degli scostamenti per ciascuna M&amp;T prevista nel Piano; </w:t>
      </w:r>
    </w:p>
    <w:p w14:paraId="4B07D7E3" w14:textId="77777777" w:rsidR="008F700D" w:rsidRPr="00056442" w:rsidRDefault="008F700D" w:rsidP="008F700D">
      <w:pPr>
        <w:widowControl/>
        <w:numPr>
          <w:ilvl w:val="0"/>
          <w:numId w:val="26"/>
        </w:numPr>
        <w:pBdr>
          <w:top w:val="nil"/>
          <w:left w:val="nil"/>
          <w:bottom w:val="nil"/>
          <w:right w:val="nil"/>
          <w:between w:val="nil"/>
        </w:pBdr>
        <w:autoSpaceDE/>
        <w:autoSpaceDN/>
        <w:ind w:left="714" w:hanging="357"/>
        <w:jc w:val="both"/>
        <w:rPr>
          <w:rFonts w:ascii="Garamond" w:eastAsia="Garamond" w:hAnsi="Garamond"/>
          <w:color w:val="000000"/>
          <w:sz w:val="24"/>
          <w:szCs w:val="24"/>
        </w:rPr>
      </w:pPr>
      <w:r w:rsidRPr="00056442">
        <w:rPr>
          <w:rFonts w:ascii="Garamond" w:eastAsia="Garamond" w:hAnsi="Garamond"/>
          <w:color w:val="000000"/>
          <w:sz w:val="24"/>
          <w:szCs w:val="24"/>
        </w:rPr>
        <w:t>elementi utili alla verifica del contributo all’obiettivo digitale e all’obiettivo sulla mitigazione del cambiamento climatico;</w:t>
      </w:r>
    </w:p>
    <w:p w14:paraId="06F1F4BD" w14:textId="77777777" w:rsidR="008F700D" w:rsidRPr="00056442" w:rsidRDefault="008F700D" w:rsidP="008F700D">
      <w:pPr>
        <w:widowControl/>
        <w:numPr>
          <w:ilvl w:val="0"/>
          <w:numId w:val="26"/>
        </w:numPr>
        <w:pBdr>
          <w:top w:val="nil"/>
          <w:left w:val="nil"/>
          <w:bottom w:val="nil"/>
          <w:right w:val="nil"/>
          <w:between w:val="nil"/>
        </w:pBdr>
        <w:autoSpaceDE/>
        <w:autoSpaceDN/>
        <w:ind w:left="714" w:hanging="357"/>
        <w:jc w:val="both"/>
        <w:rPr>
          <w:rFonts w:ascii="Garamond" w:eastAsia="Garamond" w:hAnsi="Garamond"/>
          <w:color w:val="000000"/>
          <w:sz w:val="24"/>
          <w:szCs w:val="24"/>
        </w:rPr>
      </w:pPr>
      <w:r w:rsidRPr="00056442">
        <w:rPr>
          <w:rFonts w:ascii="Garamond" w:eastAsia="Garamond" w:hAnsi="Garamond"/>
          <w:color w:val="000000"/>
          <w:sz w:val="24"/>
          <w:szCs w:val="24"/>
        </w:rPr>
        <w:t>elementi utili alla verifica del soddisfacimento del requisito “</w:t>
      </w:r>
      <w:r w:rsidRPr="00056442">
        <w:rPr>
          <w:rFonts w:ascii="Garamond" w:eastAsia="Garamond" w:hAnsi="Garamond"/>
          <w:i/>
          <w:color w:val="000000"/>
          <w:sz w:val="24"/>
          <w:szCs w:val="24"/>
        </w:rPr>
        <w:t xml:space="preserve">Do No </w:t>
      </w:r>
      <w:proofErr w:type="spellStart"/>
      <w:r w:rsidRPr="00056442">
        <w:rPr>
          <w:rFonts w:ascii="Garamond" w:eastAsia="Garamond" w:hAnsi="Garamond"/>
          <w:i/>
          <w:color w:val="000000"/>
          <w:sz w:val="24"/>
          <w:szCs w:val="24"/>
        </w:rPr>
        <w:t>Significant</w:t>
      </w:r>
      <w:proofErr w:type="spellEnd"/>
      <w:r>
        <w:rPr>
          <w:rFonts w:ascii="Garamond" w:eastAsia="Garamond" w:hAnsi="Garamond"/>
          <w:i/>
          <w:color w:val="000000"/>
          <w:sz w:val="24"/>
          <w:szCs w:val="24"/>
        </w:rPr>
        <w:t xml:space="preserve"> </w:t>
      </w:r>
      <w:proofErr w:type="spellStart"/>
      <w:r w:rsidRPr="00056442">
        <w:rPr>
          <w:rFonts w:ascii="Garamond" w:eastAsia="Garamond" w:hAnsi="Garamond"/>
          <w:i/>
          <w:color w:val="000000"/>
          <w:sz w:val="24"/>
          <w:szCs w:val="24"/>
        </w:rPr>
        <w:t>Harm</w:t>
      </w:r>
      <w:proofErr w:type="spellEnd"/>
      <w:r w:rsidRPr="00056442">
        <w:rPr>
          <w:rFonts w:ascii="Garamond" w:eastAsia="Garamond" w:hAnsi="Garamond"/>
          <w:i/>
          <w:color w:val="000000"/>
          <w:sz w:val="24"/>
          <w:szCs w:val="24"/>
        </w:rPr>
        <w:t xml:space="preserve"> (DNSH)</w:t>
      </w:r>
      <w:r w:rsidRPr="00056442">
        <w:rPr>
          <w:rFonts w:ascii="Garamond" w:eastAsia="Garamond" w:hAnsi="Garamond"/>
          <w:color w:val="000000"/>
          <w:sz w:val="24"/>
          <w:szCs w:val="24"/>
        </w:rPr>
        <w:t>”;</w:t>
      </w:r>
    </w:p>
    <w:p w14:paraId="5978D6E3" w14:textId="13DEFC31" w:rsidR="00C63DDE" w:rsidRPr="003B1790" w:rsidRDefault="008F700D" w:rsidP="003B1790">
      <w:pPr>
        <w:widowControl/>
        <w:numPr>
          <w:ilvl w:val="0"/>
          <w:numId w:val="26"/>
        </w:numPr>
        <w:pBdr>
          <w:top w:val="nil"/>
          <w:left w:val="nil"/>
          <w:bottom w:val="nil"/>
          <w:right w:val="nil"/>
          <w:between w:val="nil"/>
        </w:pBdr>
        <w:autoSpaceDE/>
        <w:autoSpaceDN/>
        <w:spacing w:after="120"/>
        <w:jc w:val="both"/>
        <w:rPr>
          <w:rFonts w:ascii="Garamond" w:eastAsia="Garamond" w:hAnsi="Garamond"/>
          <w:color w:val="000000"/>
          <w:sz w:val="24"/>
          <w:szCs w:val="24"/>
        </w:rPr>
      </w:pPr>
      <w:r w:rsidRPr="00056442">
        <w:rPr>
          <w:rFonts w:ascii="Garamond" w:eastAsia="Garamond" w:hAnsi="Garamond"/>
          <w:color w:val="000000"/>
          <w:sz w:val="24"/>
          <w:szCs w:val="24"/>
        </w:rPr>
        <w:t>atti e documentazione probatoria dell’avanzamento attuativo di progetto.</w:t>
      </w:r>
    </w:p>
    <w:tbl>
      <w:tblPr>
        <w:tblW w:w="0" w:type="auto"/>
        <w:tblBorders>
          <w:top w:val="nil"/>
          <w:left w:val="nil"/>
          <w:bottom w:val="nil"/>
          <w:right w:val="nil"/>
          <w:insideH w:val="nil"/>
          <w:insideV w:val="nil"/>
        </w:tblBorders>
        <w:tblLook w:val="0400" w:firstRow="0" w:lastRow="0" w:firstColumn="0" w:lastColumn="0" w:noHBand="0" w:noVBand="1"/>
      </w:tblPr>
      <w:tblGrid>
        <w:gridCol w:w="222"/>
        <w:gridCol w:w="9828"/>
      </w:tblGrid>
      <w:tr w:rsidR="008F700D" w:rsidRPr="00056442" w14:paraId="4932ADD2" w14:textId="77777777" w:rsidTr="00B66203">
        <w:trPr>
          <w:trHeight w:val="4355"/>
        </w:trPr>
        <w:tc>
          <w:tcPr>
            <w:tcW w:w="0" w:type="auto"/>
            <w:shd w:val="clear" w:color="auto" w:fill="4F81BD"/>
          </w:tcPr>
          <w:p w14:paraId="2F4AA5C9" w14:textId="77777777" w:rsidR="008F700D" w:rsidRPr="00056442" w:rsidRDefault="008F700D" w:rsidP="00B66203">
            <w:pPr>
              <w:rPr>
                <w:rFonts w:ascii="Garamond" w:eastAsia="Garamond" w:hAnsi="Garamond"/>
                <w:b/>
                <w:color w:val="FFFFFF"/>
                <w:sz w:val="26"/>
                <w:szCs w:val="26"/>
              </w:rPr>
            </w:pPr>
            <w:r w:rsidRPr="00056442">
              <w:rPr>
                <w:rFonts w:ascii="Garamond" w:hAnsi="Garamond"/>
                <w:noProof/>
              </w:rPr>
              <w:lastRenderedPageBreak/>
              <w:drawing>
                <wp:anchor distT="0" distB="0" distL="114300" distR="114300" simplePos="0" relativeHeight="487606784" behindDoc="0" locked="0" layoutInCell="1" allowOverlap="1" wp14:anchorId="70E5F770" wp14:editId="415274C1">
                  <wp:simplePos x="0" y="0"/>
                  <wp:positionH relativeFrom="column">
                    <wp:posOffset>-64770</wp:posOffset>
                  </wp:positionH>
                  <wp:positionV relativeFrom="paragraph">
                    <wp:posOffset>267335</wp:posOffset>
                  </wp:positionV>
                  <wp:extent cx="367030" cy="314325"/>
                  <wp:effectExtent l="0" t="0" r="0" b="9525"/>
                  <wp:wrapNone/>
                  <wp:docPr id="1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67200" cy="314471"/>
                          </a:xfrm>
                          <a:prstGeom prst="rect">
                            <a:avLst/>
                          </a:prstGeom>
                          <a:ln/>
                        </pic:spPr>
                      </pic:pic>
                    </a:graphicData>
                  </a:graphic>
                </wp:anchor>
              </w:drawing>
            </w:r>
          </w:p>
        </w:tc>
        <w:tc>
          <w:tcPr>
            <w:tcW w:w="0" w:type="auto"/>
            <w:shd w:val="clear" w:color="auto" w:fill="4F81BD"/>
          </w:tcPr>
          <w:p w14:paraId="5DC6EDC1" w14:textId="77777777" w:rsidR="008F700D" w:rsidRPr="00056442" w:rsidRDefault="008F700D" w:rsidP="00B66203">
            <w:pPr>
              <w:pBdr>
                <w:top w:val="nil"/>
                <w:left w:val="nil"/>
                <w:bottom w:val="nil"/>
                <w:right w:val="nil"/>
                <w:between w:val="nil"/>
              </w:pBdr>
              <w:spacing w:after="120" w:line="276" w:lineRule="auto"/>
              <w:jc w:val="both"/>
              <w:rPr>
                <w:rFonts w:ascii="Garamond" w:eastAsia="Garamond" w:hAnsi="Garamond"/>
                <w:b/>
                <w:color w:val="FFFFFF"/>
                <w:sz w:val="24"/>
                <w:szCs w:val="24"/>
              </w:rPr>
            </w:pPr>
            <w:r w:rsidRPr="00056442">
              <w:rPr>
                <w:rFonts w:ascii="Garamond" w:eastAsia="Garamond" w:hAnsi="Garamond"/>
                <w:b/>
                <w:color w:val="FFFFFF"/>
                <w:sz w:val="24"/>
                <w:szCs w:val="24"/>
              </w:rPr>
              <w:t xml:space="preserve">Amministrazioni centrali titolari di interventi PNRR </w:t>
            </w:r>
          </w:p>
          <w:p w14:paraId="339BE7DF" w14:textId="77777777" w:rsidR="008F700D" w:rsidRPr="00056442" w:rsidRDefault="008F700D" w:rsidP="00B66203">
            <w:pPr>
              <w:pBdr>
                <w:top w:val="nil"/>
                <w:left w:val="nil"/>
                <w:bottom w:val="nil"/>
                <w:right w:val="nil"/>
                <w:between w:val="nil"/>
              </w:pBdr>
              <w:spacing w:after="120" w:line="276" w:lineRule="auto"/>
              <w:ind w:left="350"/>
              <w:jc w:val="both"/>
              <w:rPr>
                <w:rFonts w:ascii="Garamond" w:eastAsia="Garamond" w:hAnsi="Garamond"/>
                <w:i/>
                <w:color w:val="FFFFFF"/>
                <w:sz w:val="24"/>
                <w:szCs w:val="24"/>
              </w:rPr>
            </w:pPr>
            <w:r w:rsidRPr="00056442">
              <w:rPr>
                <w:rFonts w:ascii="Garamond" w:eastAsia="Garamond" w:hAnsi="Garamond"/>
                <w:i/>
                <w:color w:val="FFFFFF"/>
                <w:sz w:val="24"/>
                <w:szCs w:val="24"/>
              </w:rPr>
              <w:t xml:space="preserve">Ministeri e strutture della Presidenza del Consiglio dei ministri responsabili dell'attuazione delle riforme e degli investimenti (ossia delle Misure) previsti nel PNRR </w:t>
            </w:r>
          </w:p>
          <w:p w14:paraId="7F1B18EB" w14:textId="77777777" w:rsidR="008F700D" w:rsidRPr="00056442" w:rsidRDefault="008F700D" w:rsidP="00B66203">
            <w:pPr>
              <w:pBdr>
                <w:top w:val="nil"/>
                <w:left w:val="nil"/>
                <w:bottom w:val="nil"/>
                <w:right w:val="nil"/>
                <w:between w:val="nil"/>
              </w:pBdr>
              <w:spacing w:after="120" w:line="276" w:lineRule="auto"/>
              <w:jc w:val="both"/>
              <w:rPr>
                <w:rFonts w:ascii="Garamond" w:eastAsia="Garamond" w:hAnsi="Garamond"/>
                <w:b/>
                <w:color w:val="FFFFFF"/>
                <w:sz w:val="24"/>
                <w:szCs w:val="24"/>
              </w:rPr>
            </w:pPr>
            <w:r w:rsidRPr="00056442">
              <w:rPr>
                <w:rFonts w:ascii="Garamond" w:eastAsia="Garamond" w:hAnsi="Garamond"/>
                <w:b/>
                <w:color w:val="FFFFFF"/>
                <w:sz w:val="24"/>
                <w:szCs w:val="24"/>
              </w:rPr>
              <w:t>Soggetto attuatore</w:t>
            </w:r>
          </w:p>
          <w:p w14:paraId="4D97F771" w14:textId="77777777" w:rsidR="008F700D" w:rsidRPr="00056442" w:rsidRDefault="008F700D" w:rsidP="00B66203">
            <w:pPr>
              <w:spacing w:line="257" w:lineRule="auto"/>
              <w:jc w:val="both"/>
              <w:rPr>
                <w:rFonts w:ascii="Garamond" w:eastAsia="Garamond" w:hAnsi="Garamond"/>
                <w:i/>
                <w:color w:val="FFFFFF"/>
                <w:sz w:val="24"/>
                <w:szCs w:val="24"/>
              </w:rPr>
            </w:pPr>
            <w:r w:rsidRPr="00056442">
              <w:rPr>
                <w:rFonts w:ascii="Garamond" w:eastAsia="Garamond" w:hAnsi="Garamond"/>
                <w:i/>
                <w:color w:val="FFFFFF"/>
                <w:sz w:val="24"/>
                <w:szCs w:val="24"/>
              </w:rPr>
              <w:t>Soggetto pubblico o privato responsabile dell’attuazione dell’intervento/progetto finanziato dal PNRR.</w:t>
            </w:r>
          </w:p>
          <w:p w14:paraId="59FC7E7E" w14:textId="77777777" w:rsidR="008F700D" w:rsidRPr="00056442" w:rsidRDefault="008F700D" w:rsidP="00B66203">
            <w:pPr>
              <w:spacing w:line="257" w:lineRule="auto"/>
              <w:jc w:val="both"/>
              <w:rPr>
                <w:rFonts w:ascii="Garamond" w:eastAsia="Garamond" w:hAnsi="Garamond"/>
                <w:i/>
                <w:color w:val="FFFFFF"/>
                <w:sz w:val="24"/>
                <w:szCs w:val="24"/>
              </w:rPr>
            </w:pPr>
            <w:r w:rsidRPr="00056442">
              <w:rPr>
                <w:rFonts w:ascii="Garamond" w:eastAsia="Garamond" w:hAnsi="Garamond"/>
                <w:i/>
                <w:color w:val="FFFFFF"/>
                <w:sz w:val="24"/>
                <w:szCs w:val="24"/>
              </w:rPr>
              <w:t>Amministrazioni centrali, Regioni, Province autonome di Trento e Bolzano ed Enti locali a cui, sulla base delle competenze istituzionali e tenuto conto del settore di riferimento e della natura dell’intervento, è demandata l’attuazione dei singoli progetti finanziati nell’ambito del PNRR</w:t>
            </w:r>
          </w:p>
          <w:p w14:paraId="468D9CD0" w14:textId="77777777" w:rsidR="008F700D" w:rsidRDefault="008F700D" w:rsidP="00B66203">
            <w:pPr>
              <w:pBdr>
                <w:top w:val="nil"/>
                <w:left w:val="nil"/>
                <w:bottom w:val="nil"/>
                <w:right w:val="nil"/>
                <w:between w:val="nil"/>
              </w:pBdr>
              <w:spacing w:before="120" w:line="276" w:lineRule="auto"/>
              <w:jc w:val="both"/>
              <w:rPr>
                <w:rFonts w:ascii="Garamond" w:eastAsia="Garamond" w:hAnsi="Garamond"/>
                <w:b/>
                <w:color w:val="FFFFFF"/>
                <w:sz w:val="24"/>
                <w:szCs w:val="24"/>
              </w:rPr>
            </w:pPr>
            <w:r w:rsidRPr="00056442">
              <w:rPr>
                <w:rFonts w:ascii="Garamond" w:eastAsia="Garamond" w:hAnsi="Garamond"/>
                <w:b/>
                <w:color w:val="FFFFFF"/>
                <w:sz w:val="24"/>
                <w:szCs w:val="24"/>
              </w:rPr>
              <w:t xml:space="preserve">Soggetto realizzatore o soggetto esecutore </w:t>
            </w:r>
          </w:p>
          <w:p w14:paraId="41C5A6C3" w14:textId="77777777" w:rsidR="008F700D" w:rsidRPr="00056442" w:rsidRDefault="008F700D" w:rsidP="00B66203">
            <w:pPr>
              <w:pBdr>
                <w:top w:val="nil"/>
                <w:left w:val="nil"/>
                <w:bottom w:val="nil"/>
                <w:right w:val="nil"/>
                <w:between w:val="nil"/>
              </w:pBdr>
              <w:spacing w:line="276" w:lineRule="auto"/>
              <w:jc w:val="both"/>
              <w:rPr>
                <w:rFonts w:ascii="Garamond" w:eastAsia="Garamond" w:hAnsi="Garamond"/>
                <w:i/>
                <w:color w:val="FFFFFF"/>
                <w:sz w:val="24"/>
                <w:szCs w:val="24"/>
              </w:rPr>
            </w:pPr>
            <w:r w:rsidRPr="00056442">
              <w:rPr>
                <w:rFonts w:ascii="Garamond" w:eastAsia="Garamond" w:hAnsi="Garamond"/>
                <w:i/>
                <w:color w:val="FFFFFF"/>
                <w:sz w:val="24"/>
                <w:szCs w:val="24"/>
              </w:rPr>
              <w:t>Soggetto e/o operatore economico a vario titolo coinvolto nella realizzazione del progetto (es. fornitore beni e servizi/esecutore lavori) e individuato dal soggetto attuatore nel rispetto della normativa comunitaria e nazionale applicabile (es. in materia di appalti pubblici)</w:t>
            </w:r>
          </w:p>
          <w:p w14:paraId="569B6074" w14:textId="77777777" w:rsidR="008F700D" w:rsidRDefault="008F700D" w:rsidP="00B66203">
            <w:pPr>
              <w:spacing w:before="120" w:line="257" w:lineRule="auto"/>
              <w:jc w:val="both"/>
              <w:rPr>
                <w:rFonts w:ascii="Garamond" w:eastAsia="Garamond" w:hAnsi="Garamond"/>
                <w:b/>
                <w:color w:val="FFFFFF"/>
                <w:sz w:val="24"/>
                <w:szCs w:val="24"/>
              </w:rPr>
            </w:pPr>
            <w:r w:rsidRPr="00056442">
              <w:rPr>
                <w:rFonts w:ascii="Garamond" w:eastAsia="Garamond" w:hAnsi="Garamond"/>
                <w:b/>
                <w:color w:val="FFFFFF"/>
                <w:sz w:val="24"/>
                <w:szCs w:val="24"/>
              </w:rPr>
              <w:t>Soggetto destinatario</w:t>
            </w:r>
            <w:r>
              <w:rPr>
                <w:rFonts w:ascii="Garamond" w:eastAsia="Garamond" w:hAnsi="Garamond"/>
                <w:b/>
                <w:color w:val="FFFFFF"/>
                <w:sz w:val="24"/>
                <w:szCs w:val="24"/>
              </w:rPr>
              <w:t xml:space="preserve"> </w:t>
            </w:r>
          </w:p>
          <w:p w14:paraId="21D02546" w14:textId="77777777" w:rsidR="008F700D" w:rsidRPr="00056442" w:rsidRDefault="008F700D" w:rsidP="00B66203">
            <w:pPr>
              <w:spacing w:line="257" w:lineRule="auto"/>
              <w:jc w:val="both"/>
              <w:rPr>
                <w:rFonts w:ascii="Garamond" w:eastAsia="Garamond" w:hAnsi="Garamond"/>
                <w:i/>
                <w:color w:val="FFFFFF"/>
                <w:sz w:val="24"/>
                <w:szCs w:val="24"/>
              </w:rPr>
            </w:pPr>
            <w:r w:rsidRPr="00056442">
              <w:rPr>
                <w:rFonts w:ascii="Garamond" w:eastAsia="Garamond" w:hAnsi="Garamond"/>
                <w:i/>
                <w:color w:val="FFFFFF"/>
                <w:sz w:val="24"/>
                <w:szCs w:val="24"/>
              </w:rPr>
              <w:t>Soggetto destinatario finale dei fondi (es. Impresa, individuo, famiglia, amministrazione pubblica ecc.).</w:t>
            </w:r>
          </w:p>
        </w:tc>
      </w:tr>
    </w:tbl>
    <w:p w14:paraId="38431E64" w14:textId="77777777" w:rsidR="008F700D" w:rsidRPr="00056442" w:rsidRDefault="008F700D" w:rsidP="008F700D">
      <w:pPr>
        <w:pBdr>
          <w:top w:val="nil"/>
          <w:left w:val="nil"/>
          <w:bottom w:val="nil"/>
          <w:right w:val="nil"/>
          <w:between w:val="nil"/>
        </w:pBdr>
        <w:spacing w:line="360" w:lineRule="auto"/>
        <w:jc w:val="both"/>
        <w:rPr>
          <w:rFonts w:ascii="Garamond" w:eastAsia="Garamond" w:hAnsi="Garamond"/>
          <w:color w:val="FFFFFF"/>
          <w:sz w:val="24"/>
          <w:szCs w:val="24"/>
        </w:rPr>
      </w:pPr>
    </w:p>
    <w:p w14:paraId="01F1B8A6" w14:textId="77777777" w:rsidR="008F700D" w:rsidRPr="00056442" w:rsidRDefault="008F700D" w:rsidP="008F700D">
      <w:pPr>
        <w:pBdr>
          <w:top w:val="nil"/>
          <w:left w:val="nil"/>
          <w:bottom w:val="nil"/>
          <w:right w:val="nil"/>
          <w:between w:val="nil"/>
        </w:pBdr>
        <w:spacing w:after="120" w:line="276" w:lineRule="auto"/>
        <w:jc w:val="both"/>
        <w:rPr>
          <w:rFonts w:ascii="Garamond" w:eastAsia="Garamond" w:hAnsi="Garamond"/>
          <w:b/>
          <w:color w:val="000000"/>
          <w:sz w:val="24"/>
          <w:szCs w:val="24"/>
        </w:rPr>
      </w:pPr>
      <w:r w:rsidRPr="00056442">
        <w:rPr>
          <w:rFonts w:ascii="Garamond" w:eastAsia="Garamond" w:hAnsi="Garamond"/>
          <w:b/>
          <w:color w:val="000000"/>
          <w:sz w:val="24"/>
          <w:szCs w:val="24"/>
        </w:rPr>
        <w:t>3. Soggetti del trattamento</w:t>
      </w:r>
    </w:p>
    <w:p w14:paraId="3145755F" w14:textId="77777777" w:rsidR="008F700D" w:rsidRDefault="008F700D" w:rsidP="008F700D">
      <w:pPr>
        <w:pBdr>
          <w:top w:val="nil"/>
          <w:left w:val="nil"/>
          <w:bottom w:val="nil"/>
          <w:right w:val="nil"/>
          <w:between w:val="nil"/>
        </w:pBdr>
        <w:jc w:val="both"/>
        <w:rPr>
          <w:rFonts w:ascii="Garamond" w:eastAsia="Garamond" w:hAnsi="Garamond"/>
          <w:color w:val="000000"/>
          <w:sz w:val="24"/>
          <w:szCs w:val="24"/>
        </w:rPr>
      </w:pPr>
      <w:r w:rsidRPr="004B5B70">
        <w:rPr>
          <w:rFonts w:ascii="Garamond" w:eastAsia="Garamond" w:hAnsi="Garamond"/>
          <w:color w:val="000000"/>
          <w:sz w:val="24"/>
          <w:szCs w:val="24"/>
        </w:rPr>
        <w:t xml:space="preserve">Titolare del trattamento dei dati </w:t>
      </w:r>
      <w:r>
        <w:rPr>
          <w:rFonts w:ascii="Garamond" w:eastAsia="Garamond" w:hAnsi="Garamond"/>
          <w:color w:val="000000"/>
          <w:sz w:val="24"/>
          <w:szCs w:val="24"/>
        </w:rPr>
        <w:t xml:space="preserve">personali forniti dai soggetti coinvolti e/o interessati è </w:t>
      </w:r>
      <w:r w:rsidRPr="004B5B70">
        <w:rPr>
          <w:rFonts w:ascii="Garamond" w:eastAsia="Garamond" w:hAnsi="Garamond"/>
          <w:color w:val="000000"/>
          <w:sz w:val="24"/>
          <w:szCs w:val="24"/>
        </w:rPr>
        <w:t>ARPAL Umbria (e-mail</w:t>
      </w:r>
      <w:r>
        <w:rPr>
          <w:rFonts w:ascii="Garamond" w:eastAsia="Garamond" w:hAnsi="Garamond"/>
          <w:color w:val="000000"/>
          <w:sz w:val="24"/>
          <w:szCs w:val="24"/>
        </w:rPr>
        <w:t xml:space="preserve"> direzione@arpalumbria.it</w:t>
      </w:r>
      <w:r w:rsidRPr="004B5B70">
        <w:rPr>
          <w:rFonts w:ascii="Garamond" w:eastAsia="Garamond" w:hAnsi="Garamond"/>
          <w:color w:val="000000"/>
          <w:sz w:val="24"/>
          <w:szCs w:val="24"/>
        </w:rPr>
        <w:t>; PEC</w:t>
      </w:r>
      <w:r w:rsidRPr="0027244D">
        <w:rPr>
          <w:rFonts w:ascii="Garamond" w:eastAsia="Garamond" w:hAnsi="Garamond"/>
          <w:color w:val="000000"/>
          <w:sz w:val="24"/>
          <w:szCs w:val="24"/>
        </w:rPr>
        <w:t xml:space="preserve">: </w:t>
      </w:r>
      <w:hyperlink r:id="rId14" w:history="1">
        <w:r w:rsidRPr="0027244D">
          <w:rPr>
            <w:rStyle w:val="Collegamentoipertestuale"/>
            <w:rFonts w:ascii="Garamond" w:hAnsi="Garamond"/>
            <w:sz w:val="24"/>
            <w:szCs w:val="24"/>
          </w:rPr>
          <w:t>arpal@postacert.umbria.it</w:t>
        </w:r>
      </w:hyperlink>
      <w:r w:rsidRPr="004B5B70">
        <w:rPr>
          <w:rFonts w:ascii="Garamond" w:eastAsia="Garamond" w:hAnsi="Garamond"/>
          <w:color w:val="000000"/>
          <w:sz w:val="24"/>
          <w:szCs w:val="24"/>
        </w:rPr>
        <w:t>)</w:t>
      </w:r>
    </w:p>
    <w:p w14:paraId="50B498C7" w14:textId="77777777" w:rsidR="008F700D" w:rsidRDefault="008F700D" w:rsidP="008F700D">
      <w:pPr>
        <w:pBdr>
          <w:top w:val="nil"/>
          <w:left w:val="nil"/>
          <w:bottom w:val="nil"/>
          <w:right w:val="nil"/>
          <w:between w:val="nil"/>
        </w:pBdr>
        <w:jc w:val="both"/>
        <w:rPr>
          <w:rFonts w:ascii="Garamond" w:eastAsia="Garamond" w:hAnsi="Garamond"/>
          <w:color w:val="000000"/>
          <w:sz w:val="24"/>
          <w:szCs w:val="24"/>
        </w:rPr>
      </w:pPr>
      <w:r w:rsidRPr="00105A3B">
        <w:rPr>
          <w:rFonts w:ascii="Garamond" w:eastAsia="Garamond" w:hAnsi="Garamond"/>
          <w:color w:val="000000"/>
          <w:sz w:val="24"/>
          <w:szCs w:val="24"/>
        </w:rPr>
        <w:t xml:space="preserve">Il Titolare ha provveduto a nominare il Responsabile della protezione dei dati </w:t>
      </w:r>
      <w:r>
        <w:rPr>
          <w:rFonts w:ascii="Garamond" w:eastAsia="Garamond" w:hAnsi="Garamond"/>
          <w:color w:val="000000"/>
          <w:sz w:val="24"/>
          <w:szCs w:val="24"/>
        </w:rPr>
        <w:t xml:space="preserve">contattabile all’indirizzo mail: </w:t>
      </w:r>
      <w:hyperlink r:id="rId15" w:history="1">
        <w:r w:rsidRPr="006B0FD2">
          <w:rPr>
            <w:rStyle w:val="Collegamentoipertestuale"/>
            <w:rFonts w:ascii="Garamond" w:eastAsia="Garamond" w:hAnsi="Garamond"/>
            <w:sz w:val="24"/>
            <w:szCs w:val="24"/>
          </w:rPr>
          <w:t>dpo@arpalumbria.it</w:t>
        </w:r>
      </w:hyperlink>
      <w:r>
        <w:rPr>
          <w:rFonts w:ascii="Garamond" w:eastAsia="Garamond" w:hAnsi="Garamond"/>
          <w:color w:val="000000"/>
          <w:sz w:val="24"/>
          <w:szCs w:val="24"/>
        </w:rPr>
        <w:t xml:space="preserve">. Il nominativo e le altre informazioni relative all’attuale DPO </w:t>
      </w:r>
      <w:r w:rsidRPr="00105A3B">
        <w:rPr>
          <w:rFonts w:ascii="Garamond" w:eastAsia="Garamond" w:hAnsi="Garamond"/>
          <w:color w:val="000000"/>
          <w:sz w:val="24"/>
          <w:szCs w:val="24"/>
        </w:rPr>
        <w:t>sono pubblicati</w:t>
      </w:r>
      <w:r>
        <w:rPr>
          <w:rFonts w:ascii="Garamond" w:eastAsia="Garamond" w:hAnsi="Garamond"/>
          <w:color w:val="000000"/>
          <w:sz w:val="24"/>
          <w:szCs w:val="24"/>
        </w:rPr>
        <w:t xml:space="preserve"> </w:t>
      </w:r>
      <w:r w:rsidRPr="00105A3B">
        <w:rPr>
          <w:rFonts w:ascii="Garamond" w:eastAsia="Garamond" w:hAnsi="Garamond"/>
          <w:color w:val="000000"/>
          <w:sz w:val="24"/>
          <w:szCs w:val="24"/>
        </w:rPr>
        <w:t>nel Sito Web istituzionale https://www.arpalumbria.it/privacy-trattamento-dati.</w:t>
      </w:r>
    </w:p>
    <w:p w14:paraId="3B55DDEA" w14:textId="77777777" w:rsidR="008F700D" w:rsidRDefault="008F700D" w:rsidP="008F700D">
      <w:pPr>
        <w:pBdr>
          <w:top w:val="nil"/>
          <w:left w:val="nil"/>
          <w:bottom w:val="nil"/>
          <w:right w:val="nil"/>
          <w:between w:val="nil"/>
        </w:pBdr>
        <w:jc w:val="both"/>
        <w:rPr>
          <w:rFonts w:ascii="Garamond" w:eastAsia="Garamond" w:hAnsi="Garamond"/>
          <w:color w:val="000000"/>
          <w:sz w:val="24"/>
          <w:szCs w:val="24"/>
        </w:rPr>
      </w:pPr>
      <w:r w:rsidRPr="00105A3B">
        <w:rPr>
          <w:rFonts w:ascii="Garamond" w:eastAsia="Garamond" w:hAnsi="Garamond"/>
          <w:color w:val="000000"/>
          <w:sz w:val="24"/>
          <w:szCs w:val="24"/>
        </w:rPr>
        <w:t>ARPAL Umbria, in qualità di titolare tratterà i dati personali conferiti con modalità</w:t>
      </w:r>
      <w:r>
        <w:rPr>
          <w:rFonts w:ascii="Garamond" w:eastAsia="Garamond" w:hAnsi="Garamond"/>
          <w:color w:val="000000"/>
          <w:sz w:val="24"/>
          <w:szCs w:val="24"/>
        </w:rPr>
        <w:t xml:space="preserve"> </w:t>
      </w:r>
      <w:r w:rsidRPr="00105A3B">
        <w:rPr>
          <w:rFonts w:ascii="Garamond" w:eastAsia="Garamond" w:hAnsi="Garamond"/>
          <w:color w:val="000000"/>
          <w:sz w:val="24"/>
          <w:szCs w:val="24"/>
        </w:rPr>
        <w:t xml:space="preserve">prevalentemente informatiche /telematiche /cartacee. Il trattamento si fonda </w:t>
      </w:r>
      <w:r>
        <w:rPr>
          <w:rFonts w:ascii="Garamond" w:eastAsia="Garamond" w:hAnsi="Garamond"/>
          <w:color w:val="000000"/>
          <w:sz w:val="24"/>
          <w:szCs w:val="24"/>
        </w:rPr>
        <w:t xml:space="preserve">sulla seguente </w:t>
      </w:r>
      <w:r w:rsidRPr="00105A3B">
        <w:rPr>
          <w:rFonts w:ascii="Garamond" w:eastAsia="Garamond" w:hAnsi="Garamond"/>
          <w:color w:val="000000"/>
          <w:sz w:val="24"/>
          <w:szCs w:val="24"/>
        </w:rPr>
        <w:t>base giuridica</w:t>
      </w:r>
      <w:r>
        <w:rPr>
          <w:rFonts w:ascii="Garamond" w:eastAsia="Garamond" w:hAnsi="Garamond"/>
          <w:color w:val="000000"/>
          <w:sz w:val="24"/>
          <w:szCs w:val="24"/>
        </w:rPr>
        <w:t xml:space="preserve">: </w:t>
      </w:r>
      <w:r w:rsidRPr="00105A3B">
        <w:rPr>
          <w:rFonts w:ascii="Garamond" w:eastAsia="Garamond" w:hAnsi="Garamond"/>
          <w:color w:val="000000"/>
          <w:sz w:val="24"/>
          <w:szCs w:val="24"/>
        </w:rPr>
        <w:t>art. 13, par. 1, lett. c) Reg. (UE) 2016/679)</w:t>
      </w:r>
      <w:r>
        <w:rPr>
          <w:rFonts w:ascii="Garamond" w:eastAsia="Garamond" w:hAnsi="Garamond"/>
          <w:color w:val="000000"/>
          <w:sz w:val="24"/>
          <w:szCs w:val="24"/>
        </w:rPr>
        <w:t>.</w:t>
      </w:r>
    </w:p>
    <w:p w14:paraId="682F28C1" w14:textId="77777777" w:rsidR="008F700D" w:rsidRDefault="008F700D" w:rsidP="008F700D">
      <w:pPr>
        <w:pBdr>
          <w:top w:val="nil"/>
          <w:left w:val="nil"/>
          <w:bottom w:val="nil"/>
          <w:right w:val="nil"/>
          <w:between w:val="nil"/>
        </w:pBdr>
        <w:jc w:val="both"/>
        <w:rPr>
          <w:rFonts w:ascii="Garamond" w:eastAsia="Garamond" w:hAnsi="Garamond"/>
          <w:color w:val="000000"/>
          <w:sz w:val="24"/>
          <w:szCs w:val="24"/>
        </w:rPr>
      </w:pPr>
      <w:r w:rsidRPr="00105A3B">
        <w:rPr>
          <w:rFonts w:ascii="Garamond" w:eastAsia="Garamond" w:hAnsi="Garamond"/>
          <w:color w:val="000000"/>
          <w:sz w:val="24"/>
          <w:szCs w:val="24"/>
        </w:rPr>
        <w:t>I dati personali oggetto di trattamento sono: dati comuni e particolari, ex articolo 9 del regolamento</w:t>
      </w:r>
      <w:r>
        <w:rPr>
          <w:rFonts w:ascii="Garamond" w:eastAsia="Garamond" w:hAnsi="Garamond"/>
          <w:color w:val="000000"/>
          <w:sz w:val="24"/>
          <w:szCs w:val="24"/>
        </w:rPr>
        <w:t xml:space="preserve"> </w:t>
      </w:r>
      <w:r w:rsidRPr="00105A3B">
        <w:rPr>
          <w:rFonts w:ascii="Garamond" w:eastAsia="Garamond" w:hAnsi="Garamond"/>
          <w:color w:val="000000"/>
          <w:sz w:val="24"/>
          <w:szCs w:val="24"/>
        </w:rPr>
        <w:t>679/2016.</w:t>
      </w:r>
    </w:p>
    <w:p w14:paraId="743B70A4" w14:textId="77777777" w:rsidR="008F700D" w:rsidRPr="00056442" w:rsidRDefault="008F700D" w:rsidP="008F700D">
      <w:pPr>
        <w:pBdr>
          <w:top w:val="nil"/>
          <w:left w:val="nil"/>
          <w:bottom w:val="nil"/>
          <w:right w:val="nil"/>
          <w:between w:val="nil"/>
        </w:pBdr>
        <w:jc w:val="both"/>
        <w:rPr>
          <w:rFonts w:ascii="Garamond" w:eastAsia="Garamond" w:hAnsi="Garamond"/>
          <w:color w:val="000000"/>
          <w:sz w:val="24"/>
          <w:szCs w:val="24"/>
        </w:rPr>
      </w:pPr>
      <w:r w:rsidRPr="00056442">
        <w:rPr>
          <w:rFonts w:ascii="Garamond" w:eastAsia="Garamond" w:hAnsi="Garamond"/>
          <w:color w:val="000000"/>
          <w:sz w:val="24"/>
          <w:szCs w:val="24"/>
        </w:rPr>
        <w:t>Per maggiori informazioni in merito si rimanda alla pagina istituzionale:</w:t>
      </w:r>
      <w:r>
        <w:rPr>
          <w:rFonts w:ascii="Garamond" w:eastAsia="Garamond" w:hAnsi="Garamond"/>
          <w:color w:val="000000"/>
          <w:sz w:val="24"/>
          <w:szCs w:val="24"/>
        </w:rPr>
        <w:t xml:space="preserve"> </w:t>
      </w:r>
      <w:hyperlink r:id="rId16" w:history="1">
        <w:r w:rsidRPr="00910578">
          <w:rPr>
            <w:rStyle w:val="Collegamentoipertestuale"/>
            <w:rFonts w:ascii="Garamond" w:eastAsia="Garamond" w:hAnsi="Garamond"/>
            <w:sz w:val="24"/>
            <w:szCs w:val="24"/>
          </w:rPr>
          <w:t>www.arpalumbria.it/privacy</w:t>
        </w:r>
      </w:hyperlink>
    </w:p>
    <w:p w14:paraId="275D3F70" w14:textId="77777777" w:rsidR="008F700D" w:rsidRDefault="008F700D" w:rsidP="008F700D">
      <w:pPr>
        <w:pBdr>
          <w:top w:val="nil"/>
          <w:left w:val="nil"/>
          <w:bottom w:val="nil"/>
          <w:right w:val="nil"/>
          <w:between w:val="nil"/>
        </w:pBdr>
        <w:jc w:val="both"/>
        <w:rPr>
          <w:rFonts w:ascii="Garamond" w:eastAsia="Garamond" w:hAnsi="Garamond"/>
          <w:color w:val="000000"/>
          <w:sz w:val="24"/>
          <w:szCs w:val="24"/>
        </w:rPr>
      </w:pPr>
      <w:r w:rsidRPr="00056442">
        <w:rPr>
          <w:rFonts w:ascii="Garamond" w:eastAsia="Garamond" w:hAnsi="Garamond"/>
          <w:color w:val="000000"/>
          <w:sz w:val="24"/>
          <w:szCs w:val="24"/>
        </w:rPr>
        <w:t xml:space="preserve">Il trattamento dei dati personali forniti dagli interessati potrà essere effettuato dal personale </w:t>
      </w:r>
      <w:r>
        <w:rPr>
          <w:rFonts w:ascii="Garamond" w:eastAsia="Garamond" w:hAnsi="Garamond"/>
          <w:color w:val="000000"/>
          <w:sz w:val="24"/>
          <w:szCs w:val="24"/>
        </w:rPr>
        <w:t xml:space="preserve">di ARPAL Umbria </w:t>
      </w:r>
      <w:r w:rsidRPr="00056442">
        <w:rPr>
          <w:rFonts w:ascii="Garamond" w:eastAsia="Garamond" w:hAnsi="Garamond"/>
          <w:color w:val="000000"/>
          <w:sz w:val="24"/>
          <w:szCs w:val="24"/>
        </w:rPr>
        <w:t xml:space="preserve">appositamente od occasionalmente autorizzato e istruito sulla base di specifiche istruzioni in ordine alle finalità e alle modalità del trattamento, da società, enti o soggetti nominati Responsabili del trattamento ai sensi dell’articolo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 nonché da soggetti incaricati di fornire soluzioni IT per la gestione delle attività di sviluppo e manutenzione del sito. </w:t>
      </w:r>
    </w:p>
    <w:p w14:paraId="3F5768E7" w14:textId="77777777" w:rsidR="008F700D" w:rsidRPr="00056442" w:rsidRDefault="008F700D" w:rsidP="008F700D">
      <w:pPr>
        <w:pBdr>
          <w:top w:val="nil"/>
          <w:left w:val="nil"/>
          <w:bottom w:val="nil"/>
          <w:right w:val="nil"/>
          <w:between w:val="nil"/>
        </w:pBdr>
        <w:spacing w:after="240"/>
        <w:jc w:val="both"/>
        <w:rPr>
          <w:rFonts w:ascii="Garamond" w:eastAsia="Garamond" w:hAnsi="Garamond"/>
          <w:color w:val="000000"/>
          <w:sz w:val="24"/>
          <w:szCs w:val="24"/>
        </w:rPr>
      </w:pPr>
      <w:r w:rsidRPr="00682F6D">
        <w:rPr>
          <w:rFonts w:ascii="Garamond" w:eastAsia="Garamond" w:hAnsi="Garamond"/>
          <w:color w:val="000000"/>
          <w:sz w:val="24"/>
          <w:szCs w:val="24"/>
        </w:rPr>
        <w:t>L'interessato potrà chiedere al Dirigente Delegato l’accesso ai dati personali che lo riguardano, la rettifica, l’integrazione o, ricorrendone gli estremi, la cancellazione o la limitazione del trattamento, ovvero opporsi al loro trattamento.</w:t>
      </w:r>
      <w:r>
        <w:rPr>
          <w:rFonts w:ascii="Garamond" w:eastAsia="Garamond" w:hAnsi="Garamond"/>
          <w:color w:val="000000"/>
          <w:sz w:val="24"/>
          <w:szCs w:val="24"/>
        </w:rPr>
        <w:t xml:space="preserve"> </w:t>
      </w:r>
      <w:r w:rsidRPr="00682F6D">
        <w:rPr>
          <w:rFonts w:ascii="Garamond" w:eastAsia="Garamond" w:hAnsi="Garamond"/>
          <w:color w:val="000000"/>
          <w:sz w:val="24"/>
          <w:szCs w:val="24"/>
        </w:rPr>
        <w:t>Ha diritto di proporre reclamo, ai sensi dell’articolo 77 del Regolamento 2016/679/UE, al Garante per la protezione dei dati personali con sede in Piazza Venezia n. 11 - 00187 Roma, ovvero ad altr</w:t>
      </w:r>
      <w:r>
        <w:rPr>
          <w:rFonts w:ascii="Garamond" w:eastAsia="Garamond" w:hAnsi="Garamond"/>
          <w:color w:val="000000"/>
          <w:sz w:val="24"/>
          <w:szCs w:val="24"/>
        </w:rPr>
        <w:t>e</w:t>
      </w:r>
      <w:r w:rsidRPr="00682F6D">
        <w:rPr>
          <w:rFonts w:ascii="Garamond" w:eastAsia="Garamond" w:hAnsi="Garamond"/>
          <w:color w:val="000000"/>
          <w:sz w:val="24"/>
          <w:szCs w:val="24"/>
        </w:rPr>
        <w:t xml:space="preserve"> autorità europea di controllo competente.</w:t>
      </w:r>
    </w:p>
    <w:p w14:paraId="17604F1F" w14:textId="77777777" w:rsidR="008F700D" w:rsidRPr="00056442" w:rsidRDefault="008F700D" w:rsidP="008F700D">
      <w:pPr>
        <w:pBdr>
          <w:top w:val="nil"/>
          <w:left w:val="nil"/>
          <w:bottom w:val="nil"/>
          <w:right w:val="nil"/>
          <w:between w:val="nil"/>
        </w:pBdr>
        <w:spacing w:line="360" w:lineRule="auto"/>
        <w:jc w:val="both"/>
        <w:rPr>
          <w:rFonts w:ascii="Garamond" w:eastAsia="Garamond" w:hAnsi="Garamond"/>
          <w:b/>
          <w:color w:val="000000"/>
          <w:sz w:val="24"/>
          <w:szCs w:val="24"/>
        </w:rPr>
      </w:pPr>
      <w:r w:rsidRPr="00056442">
        <w:rPr>
          <w:rFonts w:ascii="Garamond" w:eastAsia="Garamond" w:hAnsi="Garamond"/>
          <w:b/>
          <w:color w:val="000000"/>
          <w:sz w:val="24"/>
          <w:szCs w:val="24"/>
        </w:rPr>
        <w:t>4. Modalità del trattamento ed ambito di diffusione dei dati trasmessi</w:t>
      </w:r>
    </w:p>
    <w:p w14:paraId="1D157EC1" w14:textId="222729D7" w:rsidR="00533CF9" w:rsidRPr="00056442" w:rsidRDefault="008F700D" w:rsidP="008F700D">
      <w:pPr>
        <w:pBdr>
          <w:top w:val="nil"/>
          <w:left w:val="nil"/>
          <w:bottom w:val="nil"/>
          <w:right w:val="nil"/>
          <w:between w:val="nil"/>
        </w:pBdr>
        <w:jc w:val="both"/>
        <w:rPr>
          <w:rFonts w:ascii="Garamond" w:eastAsia="Garamond" w:hAnsi="Garamond"/>
          <w:color w:val="000000"/>
          <w:sz w:val="24"/>
          <w:szCs w:val="24"/>
        </w:rPr>
      </w:pPr>
      <w:r w:rsidRPr="00056442">
        <w:rPr>
          <w:rFonts w:ascii="Garamond" w:eastAsia="Garamond" w:hAnsi="Garamond"/>
          <w:color w:val="000000"/>
          <w:sz w:val="24"/>
          <w:szCs w:val="24"/>
        </w:rPr>
        <w:t>I dati personali sono trattati secondo i principi di liceità, correttezza, trasparenza e vengono acquisiti e conservati con l’ausilio di sistemi e strumenti, anche elettronici, idonei a garantirne la sicurezza e la riservatezza secondo le modalità previste dalle leggi e dai regolamenti vigenti.</w:t>
      </w:r>
    </w:p>
    <w:p w14:paraId="6999A1C7" w14:textId="77777777" w:rsidR="008F700D" w:rsidRDefault="008F700D" w:rsidP="008F700D">
      <w:pPr>
        <w:pBdr>
          <w:top w:val="nil"/>
          <w:left w:val="nil"/>
          <w:bottom w:val="nil"/>
          <w:right w:val="nil"/>
          <w:between w:val="nil"/>
        </w:pBdr>
        <w:spacing w:before="280" w:after="280"/>
        <w:jc w:val="both"/>
        <w:rPr>
          <w:rFonts w:ascii="Garamond" w:eastAsia="Garamond" w:hAnsi="Garamond"/>
          <w:color w:val="000000"/>
          <w:sz w:val="24"/>
          <w:szCs w:val="24"/>
        </w:rPr>
      </w:pPr>
      <w:r w:rsidRPr="00056442">
        <w:rPr>
          <w:rFonts w:ascii="Garamond" w:eastAsia="Garamond" w:hAnsi="Garamond"/>
          <w:color w:val="000000"/>
          <w:sz w:val="24"/>
          <w:szCs w:val="24"/>
        </w:rPr>
        <w:t xml:space="preserve">I dati personali potranno essere condivisi, per finalità istituzionali, con soggetti nei confronti dei quali la comunicazione e/o l’eventuale diffusione sia prevista da disposizioni di legge, da regolamenti o dalla normativa comunitaria, ovvero da soggetti pubblici e organi di controllo per lo svolgimento delle loro funzioni </w:t>
      </w:r>
      <w:r w:rsidRPr="00056442">
        <w:rPr>
          <w:rFonts w:ascii="Garamond" w:eastAsia="Garamond" w:hAnsi="Garamond"/>
          <w:color w:val="000000"/>
          <w:sz w:val="24"/>
          <w:szCs w:val="24"/>
        </w:rPr>
        <w:lastRenderedPageBreak/>
        <w:t>istituzionali quali Commissione Europea ed altri Enti e/o Autorità con finalità ispettive, contabili-amministrative e di verifica (es. Istituti di credito, Unità di Audit, ANAC, GdF, OLAF, Corte dei Conti europea-ECA, Procura europea-EPPO ecc.).</w:t>
      </w:r>
    </w:p>
    <w:tbl>
      <w:tblPr>
        <w:tblW w:w="9812" w:type="dxa"/>
        <w:tblBorders>
          <w:top w:val="nil"/>
          <w:left w:val="nil"/>
          <w:bottom w:val="nil"/>
          <w:right w:val="nil"/>
          <w:insideH w:val="nil"/>
          <w:insideV w:val="nil"/>
        </w:tblBorders>
        <w:tblLayout w:type="fixed"/>
        <w:tblLook w:val="0400" w:firstRow="0" w:lastRow="0" w:firstColumn="0" w:lastColumn="0" w:noHBand="0" w:noVBand="1"/>
      </w:tblPr>
      <w:tblGrid>
        <w:gridCol w:w="851"/>
        <w:gridCol w:w="8961"/>
      </w:tblGrid>
      <w:tr w:rsidR="008F700D" w:rsidRPr="00056442" w14:paraId="2C726841" w14:textId="77777777" w:rsidTr="00B66203">
        <w:tc>
          <w:tcPr>
            <w:tcW w:w="851" w:type="dxa"/>
            <w:shd w:val="clear" w:color="auto" w:fill="4F81BD"/>
          </w:tcPr>
          <w:p w14:paraId="45E043F5" w14:textId="77777777" w:rsidR="008F700D" w:rsidRPr="00056442" w:rsidRDefault="008F700D" w:rsidP="00B66203">
            <w:pPr>
              <w:rPr>
                <w:rFonts w:ascii="Garamond" w:eastAsia="Garamond" w:hAnsi="Garamond"/>
                <w:b/>
                <w:color w:val="FF0000"/>
                <w:sz w:val="26"/>
                <w:szCs w:val="26"/>
              </w:rPr>
            </w:pPr>
            <w:r w:rsidRPr="00056442">
              <w:rPr>
                <w:rFonts w:ascii="Garamond" w:hAnsi="Garamond"/>
                <w:noProof/>
              </w:rPr>
              <w:drawing>
                <wp:anchor distT="0" distB="0" distL="114300" distR="114300" simplePos="0" relativeHeight="487607808" behindDoc="0" locked="0" layoutInCell="1" allowOverlap="1" wp14:anchorId="1355EDB4" wp14:editId="628CC0D8">
                  <wp:simplePos x="0" y="0"/>
                  <wp:positionH relativeFrom="column">
                    <wp:posOffset>41459</wp:posOffset>
                  </wp:positionH>
                  <wp:positionV relativeFrom="paragraph">
                    <wp:posOffset>111810</wp:posOffset>
                  </wp:positionV>
                  <wp:extent cx="367200" cy="367200"/>
                  <wp:effectExtent l="0" t="0" r="0" b="0"/>
                  <wp:wrapNone/>
                  <wp:docPr id="1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67200" cy="367200"/>
                          </a:xfrm>
                          <a:prstGeom prst="rect">
                            <a:avLst/>
                          </a:prstGeom>
                          <a:ln/>
                        </pic:spPr>
                      </pic:pic>
                    </a:graphicData>
                  </a:graphic>
                </wp:anchor>
              </w:drawing>
            </w:r>
          </w:p>
        </w:tc>
        <w:tc>
          <w:tcPr>
            <w:tcW w:w="8961" w:type="dxa"/>
            <w:shd w:val="clear" w:color="auto" w:fill="4F81BD"/>
          </w:tcPr>
          <w:p w14:paraId="479BE0B9" w14:textId="77777777" w:rsidR="008F700D" w:rsidRPr="00056442" w:rsidRDefault="008F700D" w:rsidP="00B66203">
            <w:pPr>
              <w:tabs>
                <w:tab w:val="left" w:pos="8428"/>
              </w:tabs>
              <w:ind w:left="210" w:right="318"/>
              <w:jc w:val="center"/>
              <w:rPr>
                <w:rFonts w:ascii="Garamond" w:eastAsia="Garamond" w:hAnsi="Garamond"/>
                <w:b/>
                <w:color w:val="FFFFFF"/>
              </w:rPr>
            </w:pPr>
            <w:r w:rsidRPr="00056442">
              <w:rPr>
                <w:rFonts w:ascii="Garamond" w:eastAsia="Garamond" w:hAnsi="Garamond"/>
                <w:b/>
                <w:color w:val="FFFFFF"/>
              </w:rPr>
              <w:t>Regolamento (UE) 2021/241</w:t>
            </w:r>
          </w:p>
          <w:p w14:paraId="4209076D" w14:textId="77777777" w:rsidR="008F700D" w:rsidRPr="00056442" w:rsidRDefault="008F700D" w:rsidP="00B66203">
            <w:pPr>
              <w:tabs>
                <w:tab w:val="left" w:pos="8428"/>
              </w:tabs>
              <w:ind w:right="318"/>
              <w:jc w:val="center"/>
              <w:rPr>
                <w:rFonts w:ascii="Garamond" w:eastAsia="Garamond" w:hAnsi="Garamond"/>
                <w:b/>
                <w:color w:val="FFFFFF"/>
              </w:rPr>
            </w:pPr>
            <w:r w:rsidRPr="00056442">
              <w:rPr>
                <w:rFonts w:ascii="Garamond" w:eastAsia="Garamond" w:hAnsi="Garamond"/>
                <w:b/>
                <w:color w:val="FFFFFF"/>
              </w:rPr>
              <w:t>Art. 22 “</w:t>
            </w:r>
            <w:r w:rsidRPr="00056442">
              <w:rPr>
                <w:rFonts w:ascii="Garamond" w:eastAsia="Garamond" w:hAnsi="Garamond"/>
                <w:b/>
                <w:i/>
                <w:color w:val="FFFFFF"/>
              </w:rPr>
              <w:t>Tutela degli interessi finanziari dell'Unione</w:t>
            </w:r>
            <w:r w:rsidRPr="00056442">
              <w:rPr>
                <w:rFonts w:ascii="Garamond" w:eastAsia="Garamond" w:hAnsi="Garamond"/>
                <w:b/>
                <w:color w:val="FFFFFF"/>
              </w:rPr>
              <w:t>”</w:t>
            </w:r>
          </w:p>
          <w:p w14:paraId="6F6EC1DA" w14:textId="77777777" w:rsidR="008F700D" w:rsidRPr="00056442" w:rsidRDefault="008F700D" w:rsidP="00B66203">
            <w:pPr>
              <w:tabs>
                <w:tab w:val="left" w:pos="8428"/>
              </w:tabs>
              <w:spacing w:before="120" w:after="120"/>
              <w:ind w:right="318"/>
              <w:jc w:val="both"/>
              <w:rPr>
                <w:rFonts w:ascii="Garamond" w:eastAsia="Garamond" w:hAnsi="Garamond"/>
                <w:b/>
                <w:color w:val="FFFFFF"/>
              </w:rPr>
            </w:pPr>
            <w:r w:rsidRPr="00056442">
              <w:rPr>
                <w:rFonts w:ascii="Garamond" w:eastAsia="Garamond" w:hAnsi="Garamond"/>
                <w:b/>
                <w:color w:val="FFFFFF"/>
              </w:rPr>
              <w:t xml:space="preserve">Paragrafo 2) </w:t>
            </w:r>
            <w:proofErr w:type="spellStart"/>
            <w:r w:rsidRPr="00056442">
              <w:rPr>
                <w:rFonts w:ascii="Garamond" w:eastAsia="Garamond" w:hAnsi="Garamond"/>
                <w:b/>
                <w:color w:val="FFFFFF"/>
              </w:rPr>
              <w:t>lett</w:t>
            </w:r>
            <w:proofErr w:type="spellEnd"/>
            <w:r w:rsidRPr="00056442">
              <w:rPr>
                <w:rFonts w:ascii="Garamond" w:eastAsia="Garamond" w:hAnsi="Garamond"/>
                <w:b/>
                <w:color w:val="FFFFFF"/>
              </w:rPr>
              <w:t xml:space="preserve"> d)</w:t>
            </w:r>
          </w:p>
          <w:p w14:paraId="070FBF8F" w14:textId="77777777" w:rsidR="008F700D" w:rsidRPr="00056442" w:rsidRDefault="008F700D" w:rsidP="00B66203">
            <w:pPr>
              <w:tabs>
                <w:tab w:val="left" w:pos="8428"/>
              </w:tabs>
              <w:spacing w:before="120" w:after="120"/>
              <w:ind w:left="210" w:right="318"/>
              <w:jc w:val="both"/>
              <w:rPr>
                <w:rFonts w:ascii="Garamond" w:eastAsia="Garamond" w:hAnsi="Garamond"/>
                <w:b/>
                <w:i/>
                <w:color w:val="FFFFFF"/>
                <w:sz w:val="21"/>
                <w:szCs w:val="21"/>
              </w:rPr>
            </w:pPr>
            <w:r w:rsidRPr="00056442">
              <w:rPr>
                <w:rFonts w:ascii="Garamond" w:eastAsia="Garamond" w:hAnsi="Garamond"/>
                <w:b/>
                <w:i/>
                <w:color w:val="FFFFFF"/>
                <w:sz w:val="21"/>
                <w:szCs w:val="21"/>
              </w:rPr>
              <w:t>“ai fini dell'audit e del controllo e al fine di fornire dati comparabili sull'utilizzo dei fondi in relazione a misure per l'attuazione di riforme e progetti di investimento nell'ambito del piano per la ripresa e la resilienza, raccogliere le seguenti categorie standardizzate di dati, nonché garantire il relativo accesso:</w:t>
            </w:r>
          </w:p>
          <w:p w14:paraId="02349211" w14:textId="77777777" w:rsidR="008F700D" w:rsidRPr="00056442" w:rsidRDefault="008F700D" w:rsidP="008F700D">
            <w:pPr>
              <w:widowControl/>
              <w:numPr>
                <w:ilvl w:val="2"/>
                <w:numId w:val="28"/>
              </w:numPr>
              <w:pBdr>
                <w:top w:val="nil"/>
                <w:left w:val="nil"/>
                <w:bottom w:val="nil"/>
                <w:right w:val="nil"/>
                <w:between w:val="nil"/>
              </w:pBdr>
              <w:tabs>
                <w:tab w:val="left" w:pos="8428"/>
              </w:tabs>
              <w:autoSpaceDE/>
              <w:autoSpaceDN/>
              <w:spacing w:before="120"/>
              <w:ind w:right="318"/>
              <w:jc w:val="both"/>
              <w:rPr>
                <w:rFonts w:ascii="Garamond" w:eastAsia="Garamond" w:hAnsi="Garamond"/>
                <w:b/>
                <w:i/>
                <w:color w:val="FFFFFF"/>
              </w:rPr>
            </w:pPr>
            <w:r w:rsidRPr="00056442">
              <w:rPr>
                <w:rFonts w:ascii="Garamond" w:eastAsia="Garamond" w:hAnsi="Garamond"/>
                <w:b/>
                <w:i/>
                <w:color w:val="FFFFFF"/>
              </w:rPr>
              <w:t>il nome del destinatario finale dei fondi;</w:t>
            </w:r>
          </w:p>
          <w:p w14:paraId="35D443BC" w14:textId="77777777" w:rsidR="008F700D" w:rsidRPr="00056442" w:rsidRDefault="008F700D" w:rsidP="008F700D">
            <w:pPr>
              <w:widowControl/>
              <w:numPr>
                <w:ilvl w:val="2"/>
                <w:numId w:val="28"/>
              </w:numPr>
              <w:pBdr>
                <w:top w:val="nil"/>
                <w:left w:val="nil"/>
                <w:bottom w:val="nil"/>
                <w:right w:val="nil"/>
                <w:between w:val="nil"/>
              </w:pBdr>
              <w:tabs>
                <w:tab w:val="left" w:pos="8428"/>
              </w:tabs>
              <w:autoSpaceDE/>
              <w:autoSpaceDN/>
              <w:ind w:right="318"/>
              <w:jc w:val="both"/>
              <w:rPr>
                <w:rFonts w:ascii="Garamond" w:eastAsia="Garamond" w:hAnsi="Garamond"/>
                <w:b/>
                <w:i/>
                <w:color w:val="FFFFFF"/>
              </w:rPr>
            </w:pPr>
            <w:r w:rsidRPr="00056442">
              <w:rPr>
                <w:rFonts w:ascii="Garamond" w:eastAsia="Garamond" w:hAnsi="Garamond"/>
                <w:b/>
                <w:i/>
                <w:color w:val="FFFFFF"/>
              </w:rPr>
              <w:t>il nome dell'appaltatore e del subappaltatore, ove il destinatario finale dei fondi sia un'amministrazione aggiudicatrice ai sensi delle disposizioni nazionali o dell'Unione in materia di appalti pubblici;</w:t>
            </w:r>
          </w:p>
          <w:p w14:paraId="2B37478F" w14:textId="77777777" w:rsidR="008F700D" w:rsidRPr="00056442" w:rsidRDefault="008F700D" w:rsidP="008F700D">
            <w:pPr>
              <w:widowControl/>
              <w:numPr>
                <w:ilvl w:val="2"/>
                <w:numId w:val="28"/>
              </w:numPr>
              <w:pBdr>
                <w:top w:val="nil"/>
                <w:left w:val="nil"/>
                <w:bottom w:val="nil"/>
                <w:right w:val="nil"/>
                <w:between w:val="nil"/>
              </w:pBdr>
              <w:tabs>
                <w:tab w:val="left" w:pos="8428"/>
              </w:tabs>
              <w:autoSpaceDE/>
              <w:autoSpaceDN/>
              <w:ind w:right="318"/>
              <w:jc w:val="both"/>
              <w:rPr>
                <w:rFonts w:ascii="Garamond" w:eastAsia="Garamond" w:hAnsi="Garamond"/>
                <w:b/>
                <w:i/>
                <w:color w:val="FFFFFF"/>
              </w:rPr>
            </w:pPr>
            <w:r w:rsidRPr="00056442">
              <w:rPr>
                <w:rFonts w:ascii="Garamond" w:eastAsia="Garamond" w:hAnsi="Garamond"/>
                <w:b/>
                <w:i/>
                <w:color w:val="FFFFFF"/>
              </w:rPr>
              <w:t>il/i nome/i, il/i cognome/i e la data di nascita del/dei titolare/i effettivo/i del destinatario dei fondi o appaltatore, ai sensi dell'articolo 3, punto 6, della direttiva (UE) 2015/849 del Parlamento europeo e del Consiglio;</w:t>
            </w:r>
          </w:p>
          <w:p w14:paraId="02C115A4" w14:textId="77777777" w:rsidR="008F700D" w:rsidRPr="00056442" w:rsidRDefault="008F700D" w:rsidP="008F700D">
            <w:pPr>
              <w:widowControl/>
              <w:numPr>
                <w:ilvl w:val="2"/>
                <w:numId w:val="28"/>
              </w:numPr>
              <w:pBdr>
                <w:top w:val="nil"/>
                <w:left w:val="nil"/>
                <w:bottom w:val="nil"/>
                <w:right w:val="nil"/>
                <w:between w:val="nil"/>
              </w:pBdr>
              <w:tabs>
                <w:tab w:val="left" w:pos="8428"/>
              </w:tabs>
              <w:autoSpaceDE/>
              <w:autoSpaceDN/>
              <w:spacing w:after="120"/>
              <w:ind w:right="318"/>
              <w:jc w:val="both"/>
              <w:rPr>
                <w:rFonts w:ascii="Garamond" w:eastAsia="Garamond" w:hAnsi="Garamond"/>
                <w:b/>
                <w:i/>
                <w:color w:val="FFFFFF"/>
              </w:rPr>
            </w:pPr>
            <w:r w:rsidRPr="00056442">
              <w:rPr>
                <w:rFonts w:ascii="Garamond" w:eastAsia="Garamond" w:hAnsi="Garamond"/>
                <w:b/>
                <w:i/>
                <w:color w:val="FFFFFF"/>
              </w:rPr>
              <w:t>un elenco di eventuali misure per l'attuazione di riforme e progetti di investimento nell'ambito del piano per la ripresa e la resilienza con l'importo totale del finanziamento pubblico di tali misure e con l'indicazione dell'importo dei fondi erogati nell'ambito del dispositivo e di altri fondi dell'Unione”</w:t>
            </w:r>
          </w:p>
          <w:p w14:paraId="4467DC24" w14:textId="77777777" w:rsidR="008F700D" w:rsidRPr="00056442" w:rsidRDefault="008F700D" w:rsidP="00B66203">
            <w:pPr>
              <w:tabs>
                <w:tab w:val="left" w:pos="8428"/>
              </w:tabs>
              <w:spacing w:before="120" w:after="120"/>
              <w:ind w:right="318"/>
              <w:jc w:val="both"/>
              <w:rPr>
                <w:rFonts w:ascii="Garamond" w:eastAsia="Garamond" w:hAnsi="Garamond"/>
                <w:b/>
                <w:color w:val="FFFFFF"/>
              </w:rPr>
            </w:pPr>
            <w:r w:rsidRPr="00056442">
              <w:rPr>
                <w:rFonts w:ascii="Garamond" w:eastAsia="Garamond" w:hAnsi="Garamond"/>
                <w:b/>
                <w:color w:val="FFFFFF"/>
              </w:rPr>
              <w:t xml:space="preserve">Paragrafo 3) </w:t>
            </w:r>
          </w:p>
          <w:p w14:paraId="5F752752" w14:textId="77777777" w:rsidR="008F700D" w:rsidRPr="00056442" w:rsidRDefault="008F700D" w:rsidP="00B66203">
            <w:pPr>
              <w:tabs>
                <w:tab w:val="left" w:pos="8428"/>
              </w:tabs>
              <w:spacing w:before="120" w:after="120"/>
              <w:ind w:left="210" w:right="318"/>
              <w:jc w:val="both"/>
              <w:rPr>
                <w:rFonts w:ascii="Garamond" w:eastAsia="Garamond" w:hAnsi="Garamond"/>
                <w:color w:val="FFFFFF"/>
              </w:rPr>
            </w:pPr>
            <w:r w:rsidRPr="00056442">
              <w:rPr>
                <w:rFonts w:ascii="Garamond" w:eastAsia="Garamond" w:hAnsi="Garamond"/>
                <w:b/>
                <w:color w:val="FFFFFF"/>
              </w:rPr>
              <w:t>“</w:t>
            </w:r>
            <w:r w:rsidRPr="00056442">
              <w:rPr>
                <w:rFonts w:ascii="Garamond" w:eastAsia="Garamond" w:hAnsi="Garamond"/>
                <w:b/>
                <w:i/>
                <w:color w:val="FFFFFF"/>
              </w:rPr>
              <w:t>I dati personali di cui al paragrafo 2, lettera d), del presente articolo, sono trattati dagli Stati membri e dalla Commissione esclusivamente ai fini dello svolgimento, e per la durata corrispondente, delle procedure di discarico, audit e controllo dell'utilizzo dei fondi in relazione all'attuazione degli accordi di cui all'articolo 15, paragrafo 2, e all'articolo 23, paragrafo 1. Nel quadro della procedura di discarico della Commissione, conformemente all'articolo 319 TFUE, il dispositivo è soggetto agli obblighi di informazione nell'ambito delle relazioni integrate in materia finanziaria e di responsabilità di cui all'articolo 247 del regolamento finanziario e, in particolare, è oggetto di un capitolo separato della relazione annuale sulla gestione e il rendimento</w:t>
            </w:r>
            <w:r w:rsidRPr="00056442">
              <w:rPr>
                <w:rFonts w:ascii="Garamond" w:eastAsia="Garamond" w:hAnsi="Garamond"/>
                <w:color w:val="FFFFFF"/>
              </w:rPr>
              <w:t>.”</w:t>
            </w:r>
          </w:p>
        </w:tc>
      </w:tr>
    </w:tbl>
    <w:p w14:paraId="3C165BEE" w14:textId="77777777" w:rsidR="008F700D" w:rsidRPr="00056442" w:rsidRDefault="008F700D" w:rsidP="008F700D">
      <w:pPr>
        <w:rPr>
          <w:rFonts w:ascii="Garamond" w:eastAsia="Garamond" w:hAnsi="Garamond"/>
          <w:b/>
        </w:rPr>
      </w:pPr>
    </w:p>
    <w:p w14:paraId="40D19CE4" w14:textId="77777777" w:rsidR="008F700D" w:rsidRPr="00056442" w:rsidRDefault="008F700D" w:rsidP="008F700D">
      <w:pPr>
        <w:rPr>
          <w:rFonts w:ascii="Garamond" w:eastAsia="Garamond" w:hAnsi="Garamond"/>
          <w:b/>
          <w:sz w:val="24"/>
          <w:szCs w:val="24"/>
        </w:rPr>
      </w:pPr>
      <w:r w:rsidRPr="00056442">
        <w:rPr>
          <w:rFonts w:ascii="Garamond" w:eastAsia="Garamond" w:hAnsi="Garamond"/>
          <w:b/>
        </w:rPr>
        <w:t xml:space="preserve">5. </w:t>
      </w:r>
      <w:r w:rsidRPr="00056442">
        <w:rPr>
          <w:rFonts w:ascii="Garamond" w:eastAsia="Garamond" w:hAnsi="Garamond"/>
          <w:b/>
          <w:sz w:val="24"/>
          <w:szCs w:val="24"/>
        </w:rPr>
        <w:t>Base giuridica del trattamento</w:t>
      </w:r>
    </w:p>
    <w:p w14:paraId="76213862" w14:textId="6C7DA091" w:rsidR="00AA66CD" w:rsidRDefault="008F700D" w:rsidP="008F700D">
      <w:pPr>
        <w:jc w:val="both"/>
        <w:rPr>
          <w:rFonts w:ascii="Garamond" w:eastAsia="Garamond" w:hAnsi="Garamond"/>
          <w:sz w:val="24"/>
          <w:szCs w:val="24"/>
        </w:rPr>
      </w:pPr>
      <w:r w:rsidRPr="00056442">
        <w:rPr>
          <w:rFonts w:ascii="Garamond" w:eastAsia="Garamond" w:hAnsi="Garamond"/>
          <w:sz w:val="24"/>
          <w:szCs w:val="24"/>
        </w:rPr>
        <w:t xml:space="preserve">La liceità del trattamento dei dati personali trova fondamento (i) ai sensi dell’articolo 6, comma 1, lettera b) del GDPR, nell’esecuzione di un contratto di cui l’interessato è parte o delle misure precontrattuali adottate su richiesta dello stesso interessato (es. in fase di gestione di attività operative volte a garantire l’eventuale erogazione di contributi o ai fini della gestione dei processi amministrativi, contabili e fiscali); (ii) ai sensi dell’articolo 6, comma 1, lettera c) del GDPR, nell’adempimento di un obbligo legale al quale è soggetta l’Amministrazione (es. in fase di gestione dell’attività istruttoria o in fase di comunicazione dei dati in adempimento ai generali obblighi di trasparenza); (iii) ai sensi dell’articolo 6, comma 1, lettera e) del GDPR e dell’articolo 2-sexies del Codice privacy, nell'esecuzione dei compiti di interesse pubblico o comunque connessi all'esercizio dei propri pubblici poteri (es. nell’esecuzione delle attività di monitoraggio, analisi, ricerca e nell’esecuzione di attività di comunicazione e promozione relativamente all’attività istituzionale). </w:t>
      </w:r>
    </w:p>
    <w:p w14:paraId="1F6A7288" w14:textId="77777777" w:rsidR="00AA66CD" w:rsidRDefault="00AA66CD" w:rsidP="008F700D">
      <w:pPr>
        <w:jc w:val="both"/>
        <w:rPr>
          <w:rFonts w:ascii="Garamond" w:eastAsia="Garamond" w:hAnsi="Garamond"/>
          <w:sz w:val="24"/>
          <w:szCs w:val="24"/>
        </w:rPr>
      </w:pPr>
    </w:p>
    <w:p w14:paraId="255A0BE2" w14:textId="77777777" w:rsidR="00F70920" w:rsidRDefault="00F70920" w:rsidP="008F700D">
      <w:pPr>
        <w:jc w:val="both"/>
        <w:rPr>
          <w:rFonts w:ascii="Garamond" w:eastAsia="Garamond" w:hAnsi="Garamond"/>
          <w:sz w:val="24"/>
          <w:szCs w:val="24"/>
        </w:rPr>
      </w:pPr>
    </w:p>
    <w:tbl>
      <w:tblPr>
        <w:tblW w:w="9639" w:type="dxa"/>
        <w:tblBorders>
          <w:top w:val="nil"/>
          <w:left w:val="nil"/>
          <w:bottom w:val="nil"/>
          <w:right w:val="nil"/>
          <w:insideH w:val="nil"/>
          <w:insideV w:val="nil"/>
        </w:tblBorders>
        <w:tblLayout w:type="fixed"/>
        <w:tblLook w:val="0400" w:firstRow="0" w:lastRow="0" w:firstColumn="0" w:lastColumn="0" w:noHBand="0" w:noVBand="1"/>
      </w:tblPr>
      <w:tblGrid>
        <w:gridCol w:w="678"/>
        <w:gridCol w:w="8961"/>
      </w:tblGrid>
      <w:tr w:rsidR="008F700D" w:rsidRPr="00056442" w14:paraId="355CEE7B" w14:textId="77777777" w:rsidTr="00B66203">
        <w:tc>
          <w:tcPr>
            <w:tcW w:w="678" w:type="dxa"/>
            <w:shd w:val="clear" w:color="auto" w:fill="4F81BD"/>
          </w:tcPr>
          <w:p w14:paraId="7EC8FF55" w14:textId="77777777" w:rsidR="008F700D" w:rsidRPr="00056442" w:rsidRDefault="008F700D" w:rsidP="00B66203">
            <w:pPr>
              <w:rPr>
                <w:rFonts w:ascii="Garamond" w:eastAsia="Garamond" w:hAnsi="Garamond"/>
                <w:b/>
                <w:color w:val="FFFFFF"/>
                <w:sz w:val="26"/>
                <w:szCs w:val="26"/>
              </w:rPr>
            </w:pPr>
            <w:r w:rsidRPr="00056442">
              <w:rPr>
                <w:rFonts w:ascii="Garamond" w:hAnsi="Garamond"/>
                <w:noProof/>
              </w:rPr>
              <w:drawing>
                <wp:anchor distT="0" distB="0" distL="114300" distR="114300" simplePos="0" relativeHeight="487608832" behindDoc="0" locked="0" layoutInCell="1" allowOverlap="1" wp14:anchorId="4CCF0FFC" wp14:editId="3EA51781">
                  <wp:simplePos x="0" y="0"/>
                  <wp:positionH relativeFrom="column">
                    <wp:posOffset>-4231</wp:posOffset>
                  </wp:positionH>
                  <wp:positionV relativeFrom="paragraph">
                    <wp:posOffset>320463</wp:posOffset>
                  </wp:positionV>
                  <wp:extent cx="367200" cy="367200"/>
                  <wp:effectExtent l="0" t="0" r="0" b="0"/>
                  <wp:wrapNone/>
                  <wp:docPr id="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67200" cy="367200"/>
                          </a:xfrm>
                          <a:prstGeom prst="rect">
                            <a:avLst/>
                          </a:prstGeom>
                          <a:ln/>
                        </pic:spPr>
                      </pic:pic>
                    </a:graphicData>
                  </a:graphic>
                </wp:anchor>
              </w:drawing>
            </w:r>
          </w:p>
        </w:tc>
        <w:tc>
          <w:tcPr>
            <w:tcW w:w="8961" w:type="dxa"/>
            <w:shd w:val="clear" w:color="auto" w:fill="4F81BD"/>
          </w:tcPr>
          <w:p w14:paraId="7FF85E0E" w14:textId="77777777" w:rsidR="008F700D" w:rsidRPr="00056442" w:rsidRDefault="008F700D" w:rsidP="00B66203">
            <w:pPr>
              <w:tabs>
                <w:tab w:val="left" w:pos="8428"/>
              </w:tabs>
              <w:spacing w:before="120" w:after="120"/>
              <w:ind w:left="210" w:right="318"/>
              <w:jc w:val="both"/>
              <w:rPr>
                <w:rFonts w:ascii="Garamond" w:eastAsia="Garamond" w:hAnsi="Garamond"/>
                <w:b/>
                <w:color w:val="FFFFFF"/>
              </w:rPr>
            </w:pPr>
            <w:r w:rsidRPr="00056442">
              <w:rPr>
                <w:rFonts w:ascii="Garamond" w:eastAsia="Garamond" w:hAnsi="Garamond"/>
                <w:b/>
                <w:color w:val="FFFFFF"/>
              </w:rPr>
              <w:t xml:space="preserve">D. Lgs 196/2003 e </w:t>
            </w:r>
            <w:proofErr w:type="spellStart"/>
            <w:r w:rsidRPr="00056442">
              <w:rPr>
                <w:rFonts w:ascii="Garamond" w:eastAsia="Garamond" w:hAnsi="Garamond"/>
                <w:b/>
                <w:color w:val="FFFFFF"/>
              </w:rPr>
              <w:t>s.m.i.</w:t>
            </w:r>
            <w:proofErr w:type="spellEnd"/>
            <w:r w:rsidRPr="00056442">
              <w:rPr>
                <w:rFonts w:ascii="Garamond" w:eastAsia="Garamond" w:hAnsi="Garamond"/>
                <w:b/>
                <w:color w:val="FFFFFF"/>
              </w:rPr>
              <w:t>, art. 2-sexies - Trattamento di categorie particolari di dati personali necessario per motivi di interesse pubblico rilevante:</w:t>
            </w:r>
          </w:p>
          <w:p w14:paraId="763D3ACA" w14:textId="77777777" w:rsidR="008F700D" w:rsidRPr="00056442" w:rsidRDefault="008F700D" w:rsidP="00B66203">
            <w:pPr>
              <w:tabs>
                <w:tab w:val="left" w:pos="8428"/>
              </w:tabs>
              <w:spacing w:before="120"/>
              <w:ind w:left="210" w:right="318"/>
              <w:jc w:val="both"/>
              <w:rPr>
                <w:rFonts w:ascii="Garamond" w:eastAsia="Garamond" w:hAnsi="Garamond"/>
                <w:color w:val="FFFFFF"/>
              </w:rPr>
            </w:pPr>
            <w:r w:rsidRPr="00056442">
              <w:rPr>
                <w:rFonts w:ascii="Garamond" w:eastAsia="Garamond" w:hAnsi="Garamond"/>
                <w:color w:val="FFFFFF"/>
              </w:rPr>
              <w:t>si considera rilevante l’interesse pubblico relativo a trattamenti effettuati da soggetti che svolgono compiti di interesse pubblico o connessi all’esercizio di pubblici poteri nelle seguenti materie:</w:t>
            </w:r>
          </w:p>
          <w:p w14:paraId="26055364" w14:textId="77777777" w:rsidR="008F700D" w:rsidRPr="00056442" w:rsidRDefault="008F700D" w:rsidP="00B66203">
            <w:pPr>
              <w:tabs>
                <w:tab w:val="left" w:pos="8428"/>
              </w:tabs>
              <w:spacing w:after="120"/>
              <w:ind w:left="210" w:right="318"/>
              <w:jc w:val="both"/>
              <w:rPr>
                <w:rFonts w:ascii="Garamond" w:eastAsia="Garamond" w:hAnsi="Garamond"/>
                <w:color w:val="FFFFFF"/>
              </w:rPr>
            </w:pPr>
            <w:r w:rsidRPr="00056442">
              <w:rPr>
                <w:rFonts w:ascii="Garamond" w:eastAsia="Garamond" w:hAnsi="Garamond"/>
                <w:color w:val="FFFFFF"/>
              </w:rPr>
              <w:t>m) concessione, liquidazione, modifica e revoca di benefici economici, agevolazioni, elargizioni, altri emolumenti e abilitazioni.</w:t>
            </w:r>
          </w:p>
        </w:tc>
      </w:tr>
    </w:tbl>
    <w:p w14:paraId="4935C5A4" w14:textId="77777777" w:rsidR="008F700D" w:rsidRPr="00056442" w:rsidRDefault="008F700D" w:rsidP="008F700D">
      <w:pPr>
        <w:spacing w:before="120" w:after="120"/>
        <w:jc w:val="both"/>
        <w:rPr>
          <w:rFonts w:ascii="Garamond" w:eastAsia="Garamond" w:hAnsi="Garamond"/>
          <w:b/>
          <w:sz w:val="24"/>
          <w:szCs w:val="24"/>
        </w:rPr>
      </w:pPr>
      <w:r w:rsidRPr="00056442">
        <w:rPr>
          <w:rFonts w:ascii="Garamond" w:eastAsia="Garamond" w:hAnsi="Garamond"/>
          <w:b/>
          <w:sz w:val="24"/>
          <w:szCs w:val="24"/>
        </w:rPr>
        <w:lastRenderedPageBreak/>
        <w:t xml:space="preserve">Base giuridica per la pubblicazione e diffusione web </w:t>
      </w:r>
    </w:p>
    <w:p w14:paraId="2EEC0011" w14:textId="77777777" w:rsidR="008F700D" w:rsidRPr="00056442" w:rsidRDefault="008F700D" w:rsidP="008F700D">
      <w:pPr>
        <w:spacing w:before="120" w:after="120"/>
        <w:jc w:val="both"/>
        <w:rPr>
          <w:rFonts w:ascii="Garamond" w:eastAsia="Garamond" w:hAnsi="Garamond"/>
          <w:sz w:val="24"/>
          <w:szCs w:val="24"/>
        </w:rPr>
      </w:pPr>
      <w:r w:rsidRPr="00056442">
        <w:rPr>
          <w:rFonts w:ascii="Garamond" w:eastAsia="Garamond" w:hAnsi="Garamond"/>
          <w:sz w:val="24"/>
          <w:szCs w:val="24"/>
        </w:rPr>
        <w:t>Si illustrano di seguito alcuni obblighi di pubblicazione disciplinati dal d.lgs. 33/2013, tenendo conto delle principali modifiche e integrazioni introdotte dal d.lgs. 97/2016.</w:t>
      </w:r>
    </w:p>
    <w:p w14:paraId="2ECB5DB3" w14:textId="77777777" w:rsidR="008F700D" w:rsidRPr="00056442" w:rsidRDefault="008F700D" w:rsidP="008F700D">
      <w:pPr>
        <w:spacing w:before="120" w:after="120"/>
        <w:jc w:val="both"/>
        <w:rPr>
          <w:rFonts w:ascii="Garamond" w:eastAsia="Garamond" w:hAnsi="Garamond"/>
          <w:sz w:val="24"/>
          <w:szCs w:val="24"/>
        </w:rPr>
      </w:pPr>
      <w:r w:rsidRPr="00056442">
        <w:rPr>
          <w:rFonts w:ascii="Garamond" w:eastAsia="Garamond" w:hAnsi="Garamond"/>
          <w:sz w:val="24"/>
          <w:szCs w:val="24"/>
        </w:rPr>
        <w:t xml:space="preserve">Ai sensi dell’art 26 del D.L. </w:t>
      </w:r>
      <w:hyperlink r:id="rId17">
        <w:r w:rsidRPr="00056442">
          <w:rPr>
            <w:rFonts w:ascii="Garamond" w:eastAsia="Garamond" w:hAnsi="Garamond"/>
            <w:sz w:val="24"/>
            <w:szCs w:val="24"/>
          </w:rPr>
          <w:t>14 marzo 2013, n. 33</w:t>
        </w:r>
      </w:hyperlink>
      <w:r w:rsidRPr="00056442">
        <w:rPr>
          <w:rFonts w:ascii="Garamond" w:eastAsia="Garamond" w:hAnsi="Garamond"/>
          <w:sz w:val="24"/>
          <w:szCs w:val="24"/>
        </w:rPr>
        <w:t xml:space="preserve"> (come modificato dall’art. 23 del D.</w:t>
      </w:r>
      <w:r>
        <w:rPr>
          <w:rFonts w:ascii="Garamond" w:eastAsia="Garamond" w:hAnsi="Garamond"/>
          <w:sz w:val="24"/>
          <w:szCs w:val="24"/>
        </w:rPr>
        <w:t xml:space="preserve"> </w:t>
      </w:r>
      <w:r w:rsidRPr="00056442">
        <w:rPr>
          <w:rFonts w:ascii="Garamond" w:eastAsia="Garamond" w:hAnsi="Garamond"/>
          <w:sz w:val="24"/>
          <w:szCs w:val="24"/>
        </w:rPr>
        <w:t>Lgs. n. 97/2016), le pubbliche amministrazioni sono obbligate alla pubblicazione degli atti di concessione di sovvenzioni, contributi, sussidi e attribuzione di vantaggi economici a persone fisiche ed enti pubblici e privati di importo superiore a mille euro nel corso dell'anno solare al medesimo beneficiario.</w:t>
      </w:r>
    </w:p>
    <w:p w14:paraId="4AD6677B" w14:textId="77777777" w:rsidR="008F700D" w:rsidRPr="00056442" w:rsidRDefault="008F700D" w:rsidP="008F700D">
      <w:pPr>
        <w:spacing w:before="120" w:after="120"/>
        <w:jc w:val="both"/>
        <w:rPr>
          <w:rFonts w:ascii="Garamond" w:eastAsia="Garamond" w:hAnsi="Garamond"/>
          <w:sz w:val="24"/>
          <w:szCs w:val="24"/>
        </w:rPr>
      </w:pPr>
      <w:r w:rsidRPr="00056442">
        <w:rPr>
          <w:rFonts w:ascii="Garamond" w:eastAsia="Garamond" w:hAnsi="Garamond"/>
          <w:sz w:val="24"/>
          <w:szCs w:val="24"/>
        </w:rPr>
        <w:t>Ai sensi del comma 3 del medesimo articolo, la pubblicazione costituisce condizione legale di efficacia dei provvedimenti e quindi deve avvenire tempestivamente e, comunque, prima della liquidazione delle somme oggetto del provvedimento.</w:t>
      </w:r>
    </w:p>
    <w:tbl>
      <w:tblPr>
        <w:tblW w:w="9639" w:type="dxa"/>
        <w:tblBorders>
          <w:top w:val="nil"/>
          <w:left w:val="nil"/>
          <w:bottom w:val="nil"/>
          <w:right w:val="nil"/>
          <w:insideH w:val="nil"/>
          <w:insideV w:val="nil"/>
        </w:tblBorders>
        <w:tblLayout w:type="fixed"/>
        <w:tblLook w:val="0400" w:firstRow="0" w:lastRow="0" w:firstColumn="0" w:lastColumn="0" w:noHBand="0" w:noVBand="1"/>
      </w:tblPr>
      <w:tblGrid>
        <w:gridCol w:w="678"/>
        <w:gridCol w:w="8961"/>
      </w:tblGrid>
      <w:tr w:rsidR="008F700D" w:rsidRPr="00056442" w14:paraId="4B6C1345" w14:textId="77777777" w:rsidTr="00B66203">
        <w:tc>
          <w:tcPr>
            <w:tcW w:w="678" w:type="dxa"/>
            <w:shd w:val="clear" w:color="auto" w:fill="4F81BD"/>
          </w:tcPr>
          <w:p w14:paraId="1E4CB027" w14:textId="77777777" w:rsidR="008F700D" w:rsidRPr="00056442" w:rsidRDefault="008F700D" w:rsidP="00B66203">
            <w:pPr>
              <w:rPr>
                <w:rFonts w:ascii="Garamond" w:eastAsia="Garamond" w:hAnsi="Garamond"/>
                <w:b/>
                <w:color w:val="FFFFFF"/>
                <w:sz w:val="26"/>
                <w:szCs w:val="26"/>
              </w:rPr>
            </w:pPr>
            <w:r w:rsidRPr="00056442">
              <w:rPr>
                <w:rFonts w:ascii="Garamond" w:hAnsi="Garamond"/>
                <w:noProof/>
              </w:rPr>
              <w:drawing>
                <wp:anchor distT="0" distB="0" distL="114300" distR="114300" simplePos="0" relativeHeight="487609856" behindDoc="0" locked="0" layoutInCell="1" allowOverlap="1" wp14:anchorId="5E838B59" wp14:editId="7785CD37">
                  <wp:simplePos x="0" y="0"/>
                  <wp:positionH relativeFrom="column">
                    <wp:posOffset>-4231</wp:posOffset>
                  </wp:positionH>
                  <wp:positionV relativeFrom="paragraph">
                    <wp:posOffset>320463</wp:posOffset>
                  </wp:positionV>
                  <wp:extent cx="367200" cy="367200"/>
                  <wp:effectExtent l="0" t="0" r="0" b="0"/>
                  <wp:wrapNone/>
                  <wp:docPr id="1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67200" cy="367200"/>
                          </a:xfrm>
                          <a:prstGeom prst="rect">
                            <a:avLst/>
                          </a:prstGeom>
                          <a:ln/>
                        </pic:spPr>
                      </pic:pic>
                    </a:graphicData>
                  </a:graphic>
                </wp:anchor>
              </w:drawing>
            </w:r>
          </w:p>
        </w:tc>
        <w:tc>
          <w:tcPr>
            <w:tcW w:w="8961" w:type="dxa"/>
            <w:shd w:val="clear" w:color="auto" w:fill="4F81BD"/>
          </w:tcPr>
          <w:p w14:paraId="7F0E932B" w14:textId="77777777" w:rsidR="008F700D" w:rsidRPr="00056442" w:rsidRDefault="008F700D" w:rsidP="00B66203">
            <w:pPr>
              <w:spacing w:before="120" w:after="120"/>
              <w:jc w:val="both"/>
              <w:rPr>
                <w:rFonts w:ascii="Garamond" w:eastAsia="Garamond" w:hAnsi="Garamond"/>
                <w:color w:val="FFFFFF"/>
              </w:rPr>
            </w:pPr>
            <w:r w:rsidRPr="00056442">
              <w:rPr>
                <w:rFonts w:ascii="Garamond" w:eastAsia="Garamond" w:hAnsi="Garamond"/>
                <w:b/>
                <w:color w:val="FFFFFF"/>
              </w:rPr>
              <w:t xml:space="preserve">D.L. </w:t>
            </w:r>
            <w:hyperlink r:id="rId18">
              <w:r w:rsidRPr="00056442">
                <w:rPr>
                  <w:rFonts w:ascii="Garamond" w:eastAsia="Garamond" w:hAnsi="Garamond"/>
                  <w:b/>
                  <w:color w:val="FFFFFF"/>
                </w:rPr>
                <w:t>14 marzo 2013, n. 33</w:t>
              </w:r>
            </w:hyperlink>
            <w:r w:rsidRPr="00056442">
              <w:rPr>
                <w:rFonts w:ascii="Garamond" w:eastAsia="Garamond" w:hAnsi="Garamond"/>
                <w:b/>
                <w:color w:val="FFFFFF"/>
              </w:rPr>
              <w:t xml:space="preserve">, art. 26 Obblighi di pubblicazione degli atti di concessione di sovvenzioni, contributi, sussidi e attribuzione di vantaggi economici a persone fisiche ed enti pubblici e privati </w:t>
            </w:r>
            <w:r w:rsidRPr="00056442">
              <w:rPr>
                <w:rFonts w:ascii="Garamond" w:eastAsia="Garamond" w:hAnsi="Garamond"/>
                <w:color w:val="FFFFFF"/>
              </w:rPr>
              <w:t>(come modificato dall’art. 23 del D.lgs. n. 97/2016)</w:t>
            </w:r>
          </w:p>
          <w:p w14:paraId="6D30D201" w14:textId="77777777" w:rsidR="008F700D" w:rsidRPr="00056442" w:rsidRDefault="008F700D" w:rsidP="00B66203">
            <w:pPr>
              <w:spacing w:before="120" w:after="120"/>
              <w:jc w:val="both"/>
              <w:rPr>
                <w:rFonts w:ascii="Garamond" w:eastAsia="Garamond" w:hAnsi="Garamond"/>
                <w:color w:val="FFFFFF"/>
              </w:rPr>
            </w:pPr>
            <w:r w:rsidRPr="00056442">
              <w:rPr>
                <w:rFonts w:ascii="Garamond" w:eastAsia="Garamond" w:hAnsi="Garamond"/>
                <w:color w:val="FFFFFF"/>
              </w:rPr>
              <w:t xml:space="preserve"> 1. Le pubbliche amministrazioni pubblicano gli atti con i quali sono determinati, ai sensi dell'articolo 12 della legge 7 agosto 1990 n. 241, i criteri e le modalità cui le amministrazioni stesse devono attenersi per la concessione di sovvenzioni, contributi, sussidi ed ausili finanziari e per l'attribuzione di vantaggi economici di qualunque genere a persone ed enti pubblici e privati. </w:t>
            </w:r>
          </w:p>
          <w:p w14:paraId="04F55419" w14:textId="77777777" w:rsidR="008F700D" w:rsidRPr="00056442" w:rsidRDefault="008F700D" w:rsidP="00B66203">
            <w:pPr>
              <w:spacing w:before="120" w:after="120"/>
              <w:jc w:val="both"/>
              <w:rPr>
                <w:rFonts w:ascii="Garamond" w:eastAsia="Garamond" w:hAnsi="Garamond"/>
                <w:color w:val="FFFFFF"/>
              </w:rPr>
            </w:pPr>
            <w:r w:rsidRPr="00056442">
              <w:rPr>
                <w:rFonts w:ascii="Garamond" w:eastAsia="Garamond" w:hAnsi="Garamond"/>
                <w:color w:val="FFFFFF"/>
              </w:rPr>
              <w:t xml:space="preserve">2. Le pubbliche amministrazioni pubblicano gli atti di concessione delle sovvenzioni, contributi, sussidi ed ausili finanziari alle imprese, e comunque di vantaggi economici di qualunque genere a persone ed enti pubblici e privati, ai sensi del citato articolo 12 della legge n. 241 del 1990, di importo superiore a mille euro. </w:t>
            </w:r>
          </w:p>
          <w:p w14:paraId="52A7ED91" w14:textId="77777777" w:rsidR="008F700D" w:rsidRPr="00056442" w:rsidRDefault="008F700D" w:rsidP="00B66203">
            <w:pPr>
              <w:spacing w:before="120" w:after="120"/>
              <w:jc w:val="both"/>
              <w:rPr>
                <w:rFonts w:ascii="Garamond" w:eastAsia="Garamond" w:hAnsi="Garamond"/>
                <w:color w:val="FFFFFF"/>
              </w:rPr>
            </w:pPr>
            <w:r w:rsidRPr="00056442">
              <w:rPr>
                <w:rFonts w:ascii="Garamond" w:eastAsia="Garamond" w:hAnsi="Garamond"/>
                <w:color w:val="FFFFFF"/>
              </w:rPr>
              <w:t xml:space="preserve">3. La pubblicazione ai sensi del presente articolo costituisce condizione legale di efficacia dei provvedimenti che dispongano concessioni e attribuzioni di importo complessivo superiore a mille euro nel corso dell'anno solare al medesimo beneficiario. La mancata, incompleta o ritardata pubblicazione rilevata d'ufficio dagli organi di controllo è altresì rilevabile dal destinatario della prevista concessione o attribuzione e da chiunque altro abbia interesse, anche ai fini del risarcimento del danno da ritardo da parte dell'Amministrazione, ai sensi dell'articolo 30 del decreto legislativo 2 luglio 2010, n. 104. </w:t>
            </w:r>
          </w:p>
          <w:p w14:paraId="0F51AD25" w14:textId="77777777" w:rsidR="008F700D" w:rsidRPr="00056442" w:rsidRDefault="008F700D" w:rsidP="00B66203">
            <w:pPr>
              <w:spacing w:before="120" w:after="120"/>
              <w:jc w:val="both"/>
              <w:rPr>
                <w:rFonts w:ascii="Garamond" w:eastAsia="Garamond" w:hAnsi="Garamond"/>
                <w:color w:val="FFFFFF"/>
                <w:sz w:val="20"/>
                <w:szCs w:val="20"/>
              </w:rPr>
            </w:pPr>
            <w:r w:rsidRPr="00056442">
              <w:rPr>
                <w:rFonts w:ascii="Garamond" w:eastAsia="Garamond" w:hAnsi="Garamond"/>
                <w:color w:val="FFFFFF"/>
              </w:rPr>
              <w:t xml:space="preserve">4. </w:t>
            </w:r>
            <w:proofErr w:type="gramStart"/>
            <w:r w:rsidRPr="00056442">
              <w:rPr>
                <w:rFonts w:ascii="Garamond" w:eastAsia="Garamond" w:hAnsi="Garamond"/>
                <w:color w:val="FFFFFF"/>
              </w:rPr>
              <w:t>E'</w:t>
            </w:r>
            <w:proofErr w:type="gramEnd"/>
            <w:r w:rsidRPr="00056442">
              <w:rPr>
                <w:rFonts w:ascii="Garamond" w:eastAsia="Garamond" w:hAnsi="Garamond"/>
                <w:color w:val="FFFFFF"/>
              </w:rPr>
              <w:t xml:space="preserve"> esclusa la pubblicazione dei dati identificativi delle persone fisiche destinatarie dei provvedimenti di cui al presente articolo, qualora da tali dati sia possibile ricavare informazioni relative allo stato di salute ovvero alla situazione di disagio economico-sociale degli interessati.</w:t>
            </w:r>
          </w:p>
        </w:tc>
      </w:tr>
    </w:tbl>
    <w:p w14:paraId="0C2C2C11" w14:textId="24D141D9" w:rsidR="008F700D" w:rsidRPr="00056442" w:rsidRDefault="00904E70" w:rsidP="008F700D">
      <w:pPr>
        <w:spacing w:before="120"/>
        <w:ind w:left="142"/>
        <w:jc w:val="both"/>
        <w:rPr>
          <w:rFonts w:ascii="Garamond" w:eastAsia="Garamond" w:hAnsi="Garamond"/>
          <w:b/>
          <w:sz w:val="24"/>
          <w:szCs w:val="24"/>
        </w:rPr>
      </w:pPr>
      <w:r>
        <w:rPr>
          <w:rFonts w:ascii="Garamond" w:eastAsia="Garamond" w:hAnsi="Garamond"/>
          <w:b/>
          <w:sz w:val="24"/>
          <w:szCs w:val="24"/>
        </w:rPr>
        <w:t xml:space="preserve">6. </w:t>
      </w:r>
      <w:r w:rsidR="008F700D" w:rsidRPr="00056442">
        <w:rPr>
          <w:rFonts w:ascii="Garamond" w:eastAsia="Garamond" w:hAnsi="Garamond"/>
          <w:b/>
          <w:sz w:val="24"/>
          <w:szCs w:val="24"/>
        </w:rPr>
        <w:t xml:space="preserve">Pubblicazione di dati personali ulteriori </w:t>
      </w:r>
    </w:p>
    <w:p w14:paraId="15A32E2B" w14:textId="77777777" w:rsidR="008F700D" w:rsidRDefault="008F700D" w:rsidP="008F700D">
      <w:pPr>
        <w:spacing w:after="120"/>
        <w:ind w:left="142"/>
        <w:jc w:val="both"/>
        <w:rPr>
          <w:rFonts w:ascii="Garamond" w:eastAsia="Garamond" w:hAnsi="Garamond"/>
          <w:sz w:val="24"/>
          <w:szCs w:val="24"/>
        </w:rPr>
      </w:pPr>
      <w:r w:rsidRPr="00056442">
        <w:rPr>
          <w:rFonts w:ascii="Garamond" w:eastAsia="Garamond" w:hAnsi="Garamond"/>
          <w:sz w:val="24"/>
          <w:szCs w:val="24"/>
        </w:rPr>
        <w:t xml:space="preserve">Le amministrazioni, in una logica di piena apertura verso l’esterno, possono </w:t>
      </w:r>
      <w:r w:rsidRPr="00056442">
        <w:rPr>
          <w:rFonts w:ascii="Garamond" w:eastAsia="Garamond" w:hAnsi="Garamond"/>
          <w:sz w:val="24"/>
          <w:szCs w:val="24"/>
        </w:rPr>
        <w:br/>
        <w:t>pubblicare “dati ulteriori” oltre a quelli espressamente indicati e richiesti da specifiche norme di legge. La loro pubblicazione è prevista dalla l. 190/2012 (art. 1, c. 9, lett. f) e dall’art. 7-bis, c. 3 del medesimo d.lgs. 33/2013, laddove stabilisce che le pubbliche amministrazioni possono disporre la pubblicazione nel proprio sito istituzionale di dati, informazioni e documenti, anche in assenza di una specifica previsione di legge o regolamento,</w:t>
      </w:r>
      <w:r>
        <w:rPr>
          <w:rFonts w:ascii="Garamond" w:eastAsia="Garamond" w:hAnsi="Garamond"/>
          <w:sz w:val="24"/>
          <w:szCs w:val="24"/>
        </w:rPr>
        <w:t xml:space="preserve"> </w:t>
      </w:r>
      <w:r w:rsidRPr="00056442">
        <w:rPr>
          <w:rFonts w:ascii="Garamond" w:eastAsia="Garamond" w:hAnsi="Garamond"/>
          <w:sz w:val="24"/>
          <w:szCs w:val="24"/>
        </w:rPr>
        <w:t>procedendo alla indicazione in forma anonima dei dati personali eventualmente presenti.</w:t>
      </w:r>
    </w:p>
    <w:p w14:paraId="31A88A94" w14:textId="77777777" w:rsidR="00AA66CD" w:rsidRPr="00056442" w:rsidRDefault="00AA66CD" w:rsidP="008F700D">
      <w:pPr>
        <w:spacing w:after="120"/>
        <w:ind w:left="142"/>
        <w:jc w:val="both"/>
        <w:rPr>
          <w:rFonts w:ascii="Garamond" w:eastAsia="Garamond" w:hAnsi="Garamond"/>
          <w:sz w:val="24"/>
          <w:szCs w:val="24"/>
        </w:rPr>
      </w:pPr>
    </w:p>
    <w:tbl>
      <w:tblPr>
        <w:tblW w:w="9530" w:type="dxa"/>
        <w:tblBorders>
          <w:top w:val="nil"/>
          <w:left w:val="nil"/>
          <w:bottom w:val="single" w:sz="4" w:space="0" w:color="1F3864"/>
          <w:right w:val="nil"/>
          <w:insideH w:val="single" w:sz="4" w:space="0" w:color="1F3864"/>
          <w:insideV w:val="nil"/>
        </w:tblBorders>
        <w:tblLayout w:type="fixed"/>
        <w:tblLook w:val="0400" w:firstRow="0" w:lastRow="0" w:firstColumn="0" w:lastColumn="0" w:noHBand="0" w:noVBand="1"/>
      </w:tblPr>
      <w:tblGrid>
        <w:gridCol w:w="1632"/>
        <w:gridCol w:w="7898"/>
      </w:tblGrid>
      <w:tr w:rsidR="008F700D" w:rsidRPr="00056442" w14:paraId="3EE0C49E" w14:textId="77777777" w:rsidTr="00B66203">
        <w:tc>
          <w:tcPr>
            <w:tcW w:w="1632" w:type="dxa"/>
            <w:tcBorders>
              <w:top w:val="nil"/>
              <w:bottom w:val="nil"/>
            </w:tcBorders>
            <w:shd w:val="clear" w:color="auto" w:fill="4472C4"/>
          </w:tcPr>
          <w:p w14:paraId="302EDE9F" w14:textId="77777777" w:rsidR="008F700D" w:rsidRPr="00056442" w:rsidRDefault="008F700D" w:rsidP="00B66203">
            <w:pPr>
              <w:rPr>
                <w:rFonts w:ascii="Garamond" w:eastAsia="Garamond" w:hAnsi="Garamond"/>
                <w:b/>
                <w:color w:val="2F5496"/>
                <w:sz w:val="26"/>
                <w:szCs w:val="26"/>
              </w:rPr>
            </w:pPr>
            <w:r w:rsidRPr="00056442">
              <w:rPr>
                <w:rFonts w:ascii="Garamond" w:hAnsi="Garamond"/>
                <w:noProof/>
              </w:rPr>
              <w:drawing>
                <wp:anchor distT="0" distB="0" distL="114300" distR="114300" simplePos="0" relativeHeight="487610880" behindDoc="0" locked="0" layoutInCell="1" allowOverlap="1" wp14:anchorId="631EA8CB" wp14:editId="2A3E70A7">
                  <wp:simplePos x="0" y="0"/>
                  <wp:positionH relativeFrom="column">
                    <wp:posOffset>180849</wp:posOffset>
                  </wp:positionH>
                  <wp:positionV relativeFrom="paragraph">
                    <wp:posOffset>5369</wp:posOffset>
                  </wp:positionV>
                  <wp:extent cx="461010" cy="452120"/>
                  <wp:effectExtent l="0" t="0" r="0" b="0"/>
                  <wp:wrapSquare wrapText="bothSides" distT="0" distB="0" distL="114300" distR="114300"/>
                  <wp:docPr id="1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461010" cy="452120"/>
                          </a:xfrm>
                          <a:prstGeom prst="rect">
                            <a:avLst/>
                          </a:prstGeom>
                          <a:ln/>
                        </pic:spPr>
                      </pic:pic>
                    </a:graphicData>
                  </a:graphic>
                </wp:anchor>
              </w:drawing>
            </w:r>
          </w:p>
          <w:p w14:paraId="111F39AE" w14:textId="77777777" w:rsidR="008F700D" w:rsidRPr="00056442" w:rsidRDefault="008F700D" w:rsidP="00B66203">
            <w:pPr>
              <w:rPr>
                <w:rFonts w:ascii="Garamond" w:eastAsia="Garamond" w:hAnsi="Garamond"/>
                <w:sz w:val="26"/>
                <w:szCs w:val="26"/>
              </w:rPr>
            </w:pPr>
          </w:p>
        </w:tc>
        <w:tc>
          <w:tcPr>
            <w:tcW w:w="7898" w:type="dxa"/>
            <w:tcBorders>
              <w:top w:val="nil"/>
              <w:bottom w:val="nil"/>
            </w:tcBorders>
            <w:shd w:val="clear" w:color="auto" w:fill="4472C4"/>
            <w:vAlign w:val="center"/>
          </w:tcPr>
          <w:p w14:paraId="75F4795C" w14:textId="77777777" w:rsidR="008F700D" w:rsidRPr="00056442" w:rsidRDefault="008F700D" w:rsidP="00B66203">
            <w:pPr>
              <w:spacing w:before="120" w:after="120" w:line="276" w:lineRule="auto"/>
              <w:ind w:left="-620"/>
              <w:jc w:val="center"/>
              <w:rPr>
                <w:rFonts w:ascii="Garamond" w:eastAsia="Garamond" w:hAnsi="Garamond"/>
                <w:b/>
                <w:sz w:val="20"/>
                <w:szCs w:val="20"/>
              </w:rPr>
            </w:pPr>
            <w:r w:rsidRPr="00056442">
              <w:rPr>
                <w:rFonts w:ascii="Garamond" w:eastAsia="Garamond" w:hAnsi="Garamond"/>
                <w:b/>
                <w:color w:val="FFFFFF"/>
                <w:sz w:val="24"/>
                <w:szCs w:val="24"/>
              </w:rPr>
              <w:t>Limiti al “riutilizzo” dei documenti pubblicati</w:t>
            </w:r>
          </w:p>
        </w:tc>
      </w:tr>
      <w:tr w:rsidR="008F700D" w:rsidRPr="00056442" w14:paraId="706A4F9F" w14:textId="77777777" w:rsidTr="00B66203">
        <w:tc>
          <w:tcPr>
            <w:tcW w:w="9530" w:type="dxa"/>
            <w:gridSpan w:val="2"/>
            <w:tcBorders>
              <w:top w:val="nil"/>
            </w:tcBorders>
          </w:tcPr>
          <w:p w14:paraId="4FE3C786" w14:textId="77777777" w:rsidR="008F700D" w:rsidRPr="00056442" w:rsidRDefault="008F700D" w:rsidP="00B66203">
            <w:pPr>
              <w:spacing w:before="120" w:after="120"/>
              <w:jc w:val="both"/>
              <w:rPr>
                <w:rFonts w:ascii="Garamond" w:eastAsia="Garamond" w:hAnsi="Garamond"/>
                <w:sz w:val="24"/>
                <w:szCs w:val="24"/>
              </w:rPr>
            </w:pPr>
            <w:r w:rsidRPr="00056442">
              <w:rPr>
                <w:rFonts w:ascii="Garamond" w:eastAsia="Garamond" w:hAnsi="Garamond"/>
                <w:sz w:val="24"/>
                <w:szCs w:val="24"/>
              </w:rPr>
              <w:t xml:space="preserve">In ottemperanza a quanto disposto dal Garante per la protezione dei dati personali, i soggetti pubblici inseriscono nella sezione "Amministrazione trasparente" un </w:t>
            </w:r>
            <w:r w:rsidRPr="00A67A0E">
              <w:rPr>
                <w:rFonts w:ascii="Garamond" w:eastAsia="Garamond" w:hAnsi="Garamond"/>
                <w:i/>
                <w:sz w:val="24"/>
                <w:szCs w:val="24"/>
              </w:rPr>
              <w:t>alert</w:t>
            </w:r>
            <w:r w:rsidRPr="00056442">
              <w:rPr>
                <w:rFonts w:ascii="Garamond" w:eastAsia="Garamond" w:hAnsi="Garamond"/>
                <w:sz w:val="24"/>
                <w:szCs w:val="24"/>
              </w:rPr>
              <w:t xml:space="preserve"> generale con cui informano il pubblico che i dati personali pubblicati sono «riutilizzabili solo alle condizioni previste dalla normativa vigente sul riuso dei dati pubblici (…), in termini compatibili con gli scopi per i quali sono stati raccolti e registrati, e nel rispetto della normativa in materia di protezione dei dati personali».</w:t>
            </w:r>
          </w:p>
        </w:tc>
      </w:tr>
    </w:tbl>
    <w:p w14:paraId="397D6ED6" w14:textId="77777777" w:rsidR="008F700D" w:rsidRPr="00056442" w:rsidRDefault="008F700D" w:rsidP="008F700D">
      <w:pPr>
        <w:pBdr>
          <w:top w:val="nil"/>
          <w:left w:val="nil"/>
          <w:bottom w:val="nil"/>
          <w:right w:val="nil"/>
          <w:between w:val="nil"/>
        </w:pBdr>
        <w:spacing w:line="360" w:lineRule="auto"/>
        <w:jc w:val="both"/>
        <w:rPr>
          <w:rFonts w:ascii="Garamond" w:eastAsia="Garamond" w:hAnsi="Garamond"/>
          <w:b/>
          <w:color w:val="000000"/>
          <w:sz w:val="16"/>
          <w:szCs w:val="16"/>
        </w:rPr>
      </w:pPr>
    </w:p>
    <w:p w14:paraId="1C11ED1F" w14:textId="77777777" w:rsidR="008F700D" w:rsidRPr="00056442" w:rsidRDefault="008F700D" w:rsidP="008F700D">
      <w:pPr>
        <w:pBdr>
          <w:top w:val="nil"/>
          <w:left w:val="nil"/>
          <w:bottom w:val="nil"/>
          <w:right w:val="nil"/>
          <w:between w:val="nil"/>
        </w:pBdr>
        <w:spacing w:line="360" w:lineRule="auto"/>
        <w:jc w:val="both"/>
        <w:rPr>
          <w:rFonts w:ascii="Garamond" w:eastAsia="Garamond" w:hAnsi="Garamond"/>
          <w:b/>
          <w:color w:val="000000"/>
          <w:sz w:val="24"/>
          <w:szCs w:val="24"/>
        </w:rPr>
      </w:pPr>
      <w:r w:rsidRPr="00056442">
        <w:rPr>
          <w:rFonts w:ascii="Garamond" w:eastAsia="Garamond" w:hAnsi="Garamond"/>
          <w:b/>
          <w:color w:val="000000"/>
          <w:sz w:val="24"/>
          <w:szCs w:val="24"/>
        </w:rPr>
        <w:lastRenderedPageBreak/>
        <w:t>7. Tempo di conservazione dei dati</w:t>
      </w:r>
    </w:p>
    <w:p w14:paraId="76C28EE2" w14:textId="77777777" w:rsidR="008F700D" w:rsidRPr="00056442" w:rsidRDefault="008F700D" w:rsidP="008F700D">
      <w:pPr>
        <w:spacing w:after="120"/>
        <w:jc w:val="both"/>
        <w:rPr>
          <w:rFonts w:ascii="Garamond" w:eastAsia="Garamond" w:hAnsi="Garamond"/>
          <w:sz w:val="24"/>
          <w:szCs w:val="24"/>
        </w:rPr>
      </w:pPr>
      <w:r w:rsidRPr="00056442">
        <w:rPr>
          <w:rFonts w:ascii="Garamond" w:eastAsia="Garamond" w:hAnsi="Garamond"/>
          <w:sz w:val="24"/>
          <w:szCs w:val="24"/>
        </w:rPr>
        <w:t>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14:paraId="20F05F07" w14:textId="77777777" w:rsidR="008F700D" w:rsidRPr="00056442" w:rsidRDefault="008F700D" w:rsidP="008F700D">
      <w:pPr>
        <w:pBdr>
          <w:top w:val="nil"/>
          <w:left w:val="nil"/>
          <w:bottom w:val="nil"/>
          <w:right w:val="nil"/>
          <w:between w:val="nil"/>
        </w:pBdr>
        <w:spacing w:line="360" w:lineRule="auto"/>
        <w:jc w:val="both"/>
        <w:rPr>
          <w:rFonts w:ascii="Garamond" w:eastAsia="Garamond" w:hAnsi="Garamond"/>
          <w:b/>
          <w:color w:val="000000"/>
          <w:sz w:val="24"/>
          <w:szCs w:val="24"/>
        </w:rPr>
      </w:pPr>
      <w:r w:rsidRPr="00056442">
        <w:rPr>
          <w:rFonts w:ascii="Garamond" w:eastAsia="Garamond" w:hAnsi="Garamond"/>
          <w:b/>
          <w:color w:val="000000"/>
          <w:sz w:val="24"/>
          <w:szCs w:val="24"/>
        </w:rPr>
        <w:t>8. Luogo del Trattamento</w:t>
      </w:r>
    </w:p>
    <w:p w14:paraId="407A4AD0" w14:textId="77777777" w:rsidR="008F700D" w:rsidRPr="00056442" w:rsidRDefault="008F700D" w:rsidP="008F700D">
      <w:pPr>
        <w:spacing w:after="120"/>
        <w:jc w:val="both"/>
        <w:rPr>
          <w:rFonts w:ascii="Garamond" w:eastAsia="Garamond" w:hAnsi="Garamond"/>
          <w:sz w:val="24"/>
          <w:szCs w:val="24"/>
        </w:rPr>
      </w:pPr>
      <w:r w:rsidRPr="00056442">
        <w:rPr>
          <w:rFonts w:ascii="Garamond" w:eastAsia="Garamond" w:hAnsi="Garamond"/>
          <w:sz w:val="24"/>
          <w:szCs w:val="24"/>
        </w:rPr>
        <w:t xml:space="preserve">I dati vengono trattati ed archiviati presso </w:t>
      </w:r>
      <w:r>
        <w:rPr>
          <w:rFonts w:ascii="Garamond" w:eastAsia="Garamond" w:hAnsi="Garamond"/>
          <w:sz w:val="24"/>
          <w:szCs w:val="24"/>
        </w:rPr>
        <w:t>ARPAL UMBRIA.</w:t>
      </w:r>
    </w:p>
    <w:p w14:paraId="2E94DB0A" w14:textId="77777777" w:rsidR="008F700D" w:rsidRPr="00056442" w:rsidRDefault="008F700D" w:rsidP="008F700D">
      <w:pPr>
        <w:spacing w:after="120"/>
        <w:jc w:val="both"/>
        <w:rPr>
          <w:rFonts w:ascii="Garamond" w:eastAsia="Garamond" w:hAnsi="Garamond"/>
          <w:sz w:val="24"/>
          <w:szCs w:val="24"/>
        </w:rPr>
      </w:pPr>
      <w:r w:rsidRPr="00056442">
        <w:rPr>
          <w:rFonts w:ascii="Garamond" w:eastAsia="Garamond" w:hAnsi="Garamond"/>
          <w:sz w:val="24"/>
          <w:szCs w:val="24"/>
        </w:rPr>
        <w:t>Specifiche misure di sicurezza sono osservate per prevenire la perdita dei dati, usi illeciti o non corretti e accessi non autorizzati.</w:t>
      </w:r>
    </w:p>
    <w:p w14:paraId="1FA3E16E" w14:textId="77777777" w:rsidR="008F700D" w:rsidRPr="00056442" w:rsidRDefault="008F700D" w:rsidP="008F700D">
      <w:pPr>
        <w:rPr>
          <w:rFonts w:ascii="Garamond" w:eastAsia="Garamond" w:hAnsi="Garamond"/>
          <w:b/>
        </w:rPr>
      </w:pPr>
    </w:p>
    <w:bookmarkEnd w:id="1"/>
    <w:bookmarkEnd w:id="6"/>
    <w:p w14:paraId="45DC790C" w14:textId="77777777" w:rsidR="00DD3CCA" w:rsidRPr="00E21992" w:rsidRDefault="00DD3CCA" w:rsidP="00DD3CCA">
      <w:pPr>
        <w:rPr>
          <w:rFonts w:ascii="Garamond" w:hAnsi="Garamond"/>
          <w:strike/>
        </w:rPr>
      </w:pPr>
    </w:p>
    <w:p w14:paraId="361C9C06" w14:textId="77777777" w:rsidR="00DD3CCA" w:rsidRPr="00E21992" w:rsidRDefault="00DD3CCA" w:rsidP="00DD3CCA">
      <w:pPr>
        <w:rPr>
          <w:rFonts w:ascii="Garamond" w:hAnsi="Garamond"/>
          <w:strike/>
        </w:rPr>
      </w:pPr>
    </w:p>
    <w:p w14:paraId="029A63C8" w14:textId="77777777" w:rsidR="00DD3CCA" w:rsidRPr="001A0A4D" w:rsidRDefault="00DD3CCA" w:rsidP="00DD3CCA">
      <w:pPr>
        <w:rPr>
          <w:rFonts w:ascii="Garamond" w:hAnsi="Garamond"/>
        </w:rPr>
      </w:pPr>
    </w:p>
    <w:sectPr w:rsidR="00DD3CCA" w:rsidRPr="001A0A4D" w:rsidSect="00F70920">
      <w:headerReference w:type="default" r:id="rId20"/>
      <w:pgSz w:w="11910" w:h="16840" w:code="9"/>
      <w:pgMar w:top="1661" w:right="839" w:bottom="567" w:left="1021" w:header="397"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A5BE1" w14:textId="77777777" w:rsidR="00F53C9D" w:rsidRDefault="00F53C9D">
      <w:r>
        <w:separator/>
      </w:r>
    </w:p>
  </w:endnote>
  <w:endnote w:type="continuationSeparator" w:id="0">
    <w:p w14:paraId="0A2AC763" w14:textId="77777777" w:rsidR="00F53C9D" w:rsidRDefault="00F5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EU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9EDD1" w14:textId="77777777" w:rsidR="00F53C9D" w:rsidRDefault="00F53C9D">
      <w:r>
        <w:separator/>
      </w:r>
    </w:p>
  </w:footnote>
  <w:footnote w:type="continuationSeparator" w:id="0">
    <w:p w14:paraId="39C5A481" w14:textId="77777777" w:rsidR="00F53C9D" w:rsidRDefault="00F53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1A24" w14:textId="77777777" w:rsidR="006301DE" w:rsidRPr="00A47DD9" w:rsidRDefault="006301DE" w:rsidP="00F70920">
    <w:pPr>
      <w:pStyle w:val="Intestazione"/>
      <w:jc w:val="center"/>
    </w:pPr>
    <w:r w:rsidRPr="00425583">
      <w:rPr>
        <w:rFonts w:ascii="Garamond" w:hAnsi="Garamond"/>
        <w:noProof/>
      </w:rPr>
      <w:drawing>
        <wp:inline distT="0" distB="0" distL="0" distR="0" wp14:anchorId="505622A4" wp14:editId="1919F984">
          <wp:extent cx="5718964" cy="683829"/>
          <wp:effectExtent l="0" t="0" r="0" b="2540"/>
          <wp:docPr id="1249289014" name="Immagine 1249289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71490" cy="7140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0701"/>
    <w:multiLevelType w:val="hybridMultilevel"/>
    <w:tmpl w:val="8E909F1E"/>
    <w:lvl w:ilvl="0" w:tplc="FBD49DBA">
      <w:start w:val="7"/>
      <w:numFmt w:val="bullet"/>
      <w:lvlText w:val="-"/>
      <w:lvlJc w:val="left"/>
      <w:pPr>
        <w:ind w:left="472" w:hanging="360"/>
      </w:pPr>
      <w:rPr>
        <w:rFonts w:ascii="Garamond" w:eastAsia="Times New Roman" w:hAnsi="Garamond" w:cs="Times New Roman"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15:restartNumberingAfterBreak="0">
    <w:nsid w:val="086824ED"/>
    <w:multiLevelType w:val="hybridMultilevel"/>
    <w:tmpl w:val="AD623814"/>
    <w:lvl w:ilvl="0" w:tplc="D46818E2">
      <w:start w:val="8"/>
      <w:numFmt w:val="decimal"/>
      <w:lvlText w:val="%1"/>
      <w:lvlJc w:val="left"/>
      <w:pPr>
        <w:ind w:left="112" w:hanging="161"/>
      </w:pPr>
      <w:rPr>
        <w:rFonts w:ascii="Calibri" w:eastAsia="Calibri" w:hAnsi="Calibri" w:cs="Calibri" w:hint="default"/>
        <w:w w:val="99"/>
        <w:position w:val="8"/>
        <w:sz w:val="14"/>
        <w:szCs w:val="14"/>
        <w:lang w:val="it-IT" w:eastAsia="en-US" w:bidi="ar-SA"/>
      </w:rPr>
    </w:lvl>
    <w:lvl w:ilvl="1" w:tplc="D56C35F8">
      <w:start w:val="1"/>
      <w:numFmt w:val="decimal"/>
      <w:lvlText w:val="%2."/>
      <w:lvlJc w:val="left"/>
      <w:pPr>
        <w:ind w:left="679" w:hanging="360"/>
      </w:pPr>
      <w:rPr>
        <w:rFonts w:ascii="Times New Roman" w:eastAsia="Times New Roman" w:hAnsi="Times New Roman" w:cs="Times New Roman" w:hint="default"/>
        <w:w w:val="100"/>
        <w:sz w:val="24"/>
        <w:szCs w:val="24"/>
        <w:lang w:val="it-IT" w:eastAsia="en-US" w:bidi="ar-SA"/>
      </w:rPr>
    </w:lvl>
    <w:lvl w:ilvl="2" w:tplc="DEBA06FA">
      <w:numFmt w:val="bullet"/>
      <w:lvlText w:val="•"/>
      <w:lvlJc w:val="left"/>
      <w:pPr>
        <w:ind w:left="1720" w:hanging="360"/>
      </w:pPr>
      <w:rPr>
        <w:rFonts w:hint="default"/>
        <w:lang w:val="it-IT" w:eastAsia="en-US" w:bidi="ar-SA"/>
      </w:rPr>
    </w:lvl>
    <w:lvl w:ilvl="3" w:tplc="E2F21F28">
      <w:numFmt w:val="bullet"/>
      <w:lvlText w:val="•"/>
      <w:lvlJc w:val="left"/>
      <w:pPr>
        <w:ind w:left="2761" w:hanging="360"/>
      </w:pPr>
      <w:rPr>
        <w:rFonts w:hint="default"/>
        <w:lang w:val="it-IT" w:eastAsia="en-US" w:bidi="ar-SA"/>
      </w:rPr>
    </w:lvl>
    <w:lvl w:ilvl="4" w:tplc="A8648094">
      <w:numFmt w:val="bullet"/>
      <w:lvlText w:val="•"/>
      <w:lvlJc w:val="left"/>
      <w:pPr>
        <w:ind w:left="3802" w:hanging="360"/>
      </w:pPr>
      <w:rPr>
        <w:rFonts w:hint="default"/>
        <w:lang w:val="it-IT" w:eastAsia="en-US" w:bidi="ar-SA"/>
      </w:rPr>
    </w:lvl>
    <w:lvl w:ilvl="5" w:tplc="11BE285E">
      <w:numFmt w:val="bullet"/>
      <w:lvlText w:val="•"/>
      <w:lvlJc w:val="left"/>
      <w:pPr>
        <w:ind w:left="4842" w:hanging="360"/>
      </w:pPr>
      <w:rPr>
        <w:rFonts w:hint="default"/>
        <w:lang w:val="it-IT" w:eastAsia="en-US" w:bidi="ar-SA"/>
      </w:rPr>
    </w:lvl>
    <w:lvl w:ilvl="6" w:tplc="28E2C9E6">
      <w:numFmt w:val="bullet"/>
      <w:lvlText w:val="•"/>
      <w:lvlJc w:val="left"/>
      <w:pPr>
        <w:ind w:left="5883" w:hanging="360"/>
      </w:pPr>
      <w:rPr>
        <w:rFonts w:hint="default"/>
        <w:lang w:val="it-IT" w:eastAsia="en-US" w:bidi="ar-SA"/>
      </w:rPr>
    </w:lvl>
    <w:lvl w:ilvl="7" w:tplc="F5FA178A">
      <w:numFmt w:val="bullet"/>
      <w:lvlText w:val="•"/>
      <w:lvlJc w:val="left"/>
      <w:pPr>
        <w:ind w:left="6924" w:hanging="360"/>
      </w:pPr>
      <w:rPr>
        <w:rFonts w:hint="default"/>
        <w:lang w:val="it-IT" w:eastAsia="en-US" w:bidi="ar-SA"/>
      </w:rPr>
    </w:lvl>
    <w:lvl w:ilvl="8" w:tplc="927C3F5A">
      <w:numFmt w:val="bullet"/>
      <w:lvlText w:val="•"/>
      <w:lvlJc w:val="left"/>
      <w:pPr>
        <w:ind w:left="7964" w:hanging="360"/>
      </w:pPr>
      <w:rPr>
        <w:rFonts w:hint="default"/>
        <w:lang w:val="it-IT" w:eastAsia="en-US" w:bidi="ar-SA"/>
      </w:rPr>
    </w:lvl>
  </w:abstractNum>
  <w:abstractNum w:abstractNumId="2" w15:restartNumberingAfterBreak="0">
    <w:nsid w:val="11355D06"/>
    <w:multiLevelType w:val="hybridMultilevel"/>
    <w:tmpl w:val="16DE9996"/>
    <w:lvl w:ilvl="0" w:tplc="B3B47224">
      <w:numFmt w:val="bullet"/>
      <w:lvlText w:val="▪"/>
      <w:lvlJc w:val="left"/>
      <w:pPr>
        <w:ind w:left="825" w:hanging="356"/>
      </w:pPr>
      <w:rPr>
        <w:rFonts w:ascii="Calibri" w:eastAsia="Calibri" w:hAnsi="Calibri" w:cs="Calibri" w:hint="default"/>
        <w:w w:val="100"/>
        <w:sz w:val="24"/>
        <w:szCs w:val="24"/>
        <w:lang w:val="it-IT" w:eastAsia="en-US" w:bidi="ar-SA"/>
      </w:rPr>
    </w:lvl>
    <w:lvl w:ilvl="1" w:tplc="3C423E44">
      <w:numFmt w:val="bullet"/>
      <w:lvlText w:val="•"/>
      <w:lvlJc w:val="left"/>
      <w:pPr>
        <w:ind w:left="1742" w:hanging="356"/>
      </w:pPr>
      <w:rPr>
        <w:rFonts w:hint="default"/>
        <w:lang w:val="it-IT" w:eastAsia="en-US" w:bidi="ar-SA"/>
      </w:rPr>
    </w:lvl>
    <w:lvl w:ilvl="2" w:tplc="255814E4">
      <w:numFmt w:val="bullet"/>
      <w:lvlText w:val="•"/>
      <w:lvlJc w:val="left"/>
      <w:pPr>
        <w:ind w:left="2665" w:hanging="356"/>
      </w:pPr>
      <w:rPr>
        <w:rFonts w:hint="default"/>
        <w:lang w:val="it-IT" w:eastAsia="en-US" w:bidi="ar-SA"/>
      </w:rPr>
    </w:lvl>
    <w:lvl w:ilvl="3" w:tplc="BD669C1A">
      <w:numFmt w:val="bullet"/>
      <w:lvlText w:val="•"/>
      <w:lvlJc w:val="left"/>
      <w:pPr>
        <w:ind w:left="3587" w:hanging="356"/>
      </w:pPr>
      <w:rPr>
        <w:rFonts w:hint="default"/>
        <w:lang w:val="it-IT" w:eastAsia="en-US" w:bidi="ar-SA"/>
      </w:rPr>
    </w:lvl>
    <w:lvl w:ilvl="4" w:tplc="190AE074">
      <w:numFmt w:val="bullet"/>
      <w:lvlText w:val="•"/>
      <w:lvlJc w:val="left"/>
      <w:pPr>
        <w:ind w:left="4510" w:hanging="356"/>
      </w:pPr>
      <w:rPr>
        <w:rFonts w:hint="default"/>
        <w:lang w:val="it-IT" w:eastAsia="en-US" w:bidi="ar-SA"/>
      </w:rPr>
    </w:lvl>
    <w:lvl w:ilvl="5" w:tplc="3CAE3FFE">
      <w:numFmt w:val="bullet"/>
      <w:lvlText w:val="•"/>
      <w:lvlJc w:val="left"/>
      <w:pPr>
        <w:ind w:left="5433" w:hanging="356"/>
      </w:pPr>
      <w:rPr>
        <w:rFonts w:hint="default"/>
        <w:lang w:val="it-IT" w:eastAsia="en-US" w:bidi="ar-SA"/>
      </w:rPr>
    </w:lvl>
    <w:lvl w:ilvl="6" w:tplc="41105CC8">
      <w:numFmt w:val="bullet"/>
      <w:lvlText w:val="•"/>
      <w:lvlJc w:val="left"/>
      <w:pPr>
        <w:ind w:left="6355" w:hanging="356"/>
      </w:pPr>
      <w:rPr>
        <w:rFonts w:hint="default"/>
        <w:lang w:val="it-IT" w:eastAsia="en-US" w:bidi="ar-SA"/>
      </w:rPr>
    </w:lvl>
    <w:lvl w:ilvl="7" w:tplc="D1764BC6">
      <w:numFmt w:val="bullet"/>
      <w:lvlText w:val="•"/>
      <w:lvlJc w:val="left"/>
      <w:pPr>
        <w:ind w:left="7278" w:hanging="356"/>
      </w:pPr>
      <w:rPr>
        <w:rFonts w:hint="default"/>
        <w:lang w:val="it-IT" w:eastAsia="en-US" w:bidi="ar-SA"/>
      </w:rPr>
    </w:lvl>
    <w:lvl w:ilvl="8" w:tplc="3A3C96AA">
      <w:numFmt w:val="bullet"/>
      <w:lvlText w:val="•"/>
      <w:lvlJc w:val="left"/>
      <w:pPr>
        <w:ind w:left="8201" w:hanging="356"/>
      </w:pPr>
      <w:rPr>
        <w:rFonts w:hint="default"/>
        <w:lang w:val="it-IT" w:eastAsia="en-US" w:bidi="ar-SA"/>
      </w:rPr>
    </w:lvl>
  </w:abstractNum>
  <w:abstractNum w:abstractNumId="3" w15:restartNumberingAfterBreak="0">
    <w:nsid w:val="1D7C56F3"/>
    <w:multiLevelType w:val="hybridMultilevel"/>
    <w:tmpl w:val="F59AAF9A"/>
    <w:lvl w:ilvl="0" w:tplc="45DC8966">
      <w:numFmt w:val="bullet"/>
      <w:lvlText w:val="-"/>
      <w:lvlJc w:val="left"/>
      <w:pPr>
        <w:ind w:left="414" w:hanging="300"/>
      </w:pPr>
      <w:rPr>
        <w:rFonts w:ascii="Times New Roman" w:eastAsia="Times New Roman" w:hAnsi="Times New Roman" w:cs="Times New Roman" w:hint="default"/>
        <w:spacing w:val="0"/>
        <w:w w:val="100"/>
        <w:lang w:val="it-IT" w:eastAsia="en-US" w:bidi="ar-SA"/>
      </w:rPr>
    </w:lvl>
    <w:lvl w:ilvl="1" w:tplc="B63007BE">
      <w:numFmt w:val="bullet"/>
      <w:lvlText w:val="•"/>
      <w:lvlJc w:val="left"/>
      <w:pPr>
        <w:ind w:left="1394" w:hanging="300"/>
      </w:pPr>
      <w:rPr>
        <w:rFonts w:hint="default"/>
        <w:lang w:val="it-IT" w:eastAsia="en-US" w:bidi="ar-SA"/>
      </w:rPr>
    </w:lvl>
    <w:lvl w:ilvl="2" w:tplc="519E7880">
      <w:numFmt w:val="bullet"/>
      <w:lvlText w:val="•"/>
      <w:lvlJc w:val="left"/>
      <w:pPr>
        <w:ind w:left="2368" w:hanging="300"/>
      </w:pPr>
      <w:rPr>
        <w:rFonts w:hint="default"/>
        <w:lang w:val="it-IT" w:eastAsia="en-US" w:bidi="ar-SA"/>
      </w:rPr>
    </w:lvl>
    <w:lvl w:ilvl="3" w:tplc="2E168700">
      <w:numFmt w:val="bullet"/>
      <w:lvlText w:val="•"/>
      <w:lvlJc w:val="left"/>
      <w:pPr>
        <w:ind w:left="3342" w:hanging="300"/>
      </w:pPr>
      <w:rPr>
        <w:rFonts w:hint="default"/>
        <w:lang w:val="it-IT" w:eastAsia="en-US" w:bidi="ar-SA"/>
      </w:rPr>
    </w:lvl>
    <w:lvl w:ilvl="4" w:tplc="980CABF0">
      <w:numFmt w:val="bullet"/>
      <w:lvlText w:val="•"/>
      <w:lvlJc w:val="left"/>
      <w:pPr>
        <w:ind w:left="4316" w:hanging="300"/>
      </w:pPr>
      <w:rPr>
        <w:rFonts w:hint="default"/>
        <w:lang w:val="it-IT" w:eastAsia="en-US" w:bidi="ar-SA"/>
      </w:rPr>
    </w:lvl>
    <w:lvl w:ilvl="5" w:tplc="95CC361A">
      <w:numFmt w:val="bullet"/>
      <w:lvlText w:val="•"/>
      <w:lvlJc w:val="left"/>
      <w:pPr>
        <w:ind w:left="5290" w:hanging="300"/>
      </w:pPr>
      <w:rPr>
        <w:rFonts w:hint="default"/>
        <w:lang w:val="it-IT" w:eastAsia="en-US" w:bidi="ar-SA"/>
      </w:rPr>
    </w:lvl>
    <w:lvl w:ilvl="6" w:tplc="CC345C12">
      <w:numFmt w:val="bullet"/>
      <w:lvlText w:val="•"/>
      <w:lvlJc w:val="left"/>
      <w:pPr>
        <w:ind w:left="6264" w:hanging="300"/>
      </w:pPr>
      <w:rPr>
        <w:rFonts w:hint="default"/>
        <w:lang w:val="it-IT" w:eastAsia="en-US" w:bidi="ar-SA"/>
      </w:rPr>
    </w:lvl>
    <w:lvl w:ilvl="7" w:tplc="7C4E2506">
      <w:numFmt w:val="bullet"/>
      <w:lvlText w:val="•"/>
      <w:lvlJc w:val="left"/>
      <w:pPr>
        <w:ind w:left="7238" w:hanging="300"/>
      </w:pPr>
      <w:rPr>
        <w:rFonts w:hint="default"/>
        <w:lang w:val="it-IT" w:eastAsia="en-US" w:bidi="ar-SA"/>
      </w:rPr>
    </w:lvl>
    <w:lvl w:ilvl="8" w:tplc="A7DE9E32">
      <w:numFmt w:val="bullet"/>
      <w:lvlText w:val="•"/>
      <w:lvlJc w:val="left"/>
      <w:pPr>
        <w:ind w:left="8212" w:hanging="300"/>
      </w:pPr>
      <w:rPr>
        <w:rFonts w:hint="default"/>
        <w:lang w:val="it-IT" w:eastAsia="en-US" w:bidi="ar-SA"/>
      </w:rPr>
    </w:lvl>
  </w:abstractNum>
  <w:abstractNum w:abstractNumId="4" w15:restartNumberingAfterBreak="0">
    <w:nsid w:val="22787B63"/>
    <w:multiLevelType w:val="hybridMultilevel"/>
    <w:tmpl w:val="ADAC381C"/>
    <w:lvl w:ilvl="0" w:tplc="E8D016E6">
      <w:start w:val="1"/>
      <w:numFmt w:val="lowerLetter"/>
      <w:lvlText w:val="%1)"/>
      <w:lvlJc w:val="left"/>
      <w:pPr>
        <w:ind w:left="398" w:hanging="232"/>
      </w:pPr>
      <w:rPr>
        <w:rFonts w:hint="default"/>
        <w:b/>
        <w:bCs/>
        <w:i/>
        <w:iCs/>
        <w:w w:val="98"/>
        <w:lang w:val="it-IT" w:eastAsia="en-US" w:bidi="ar-SA"/>
      </w:rPr>
    </w:lvl>
    <w:lvl w:ilvl="1" w:tplc="EC285406">
      <w:start w:val="1"/>
      <w:numFmt w:val="decimal"/>
      <w:lvlText w:val="%2"/>
      <w:lvlJc w:val="left"/>
      <w:pPr>
        <w:ind w:left="641" w:hanging="244"/>
      </w:pPr>
      <w:rPr>
        <w:rFonts w:ascii="Times New Roman" w:eastAsia="Times New Roman" w:hAnsi="Times New Roman" w:cs="Times New Roman" w:hint="default"/>
        <w:w w:val="93"/>
        <w:sz w:val="20"/>
        <w:szCs w:val="20"/>
        <w:lang w:val="it-IT" w:eastAsia="en-US" w:bidi="ar-SA"/>
      </w:rPr>
    </w:lvl>
    <w:lvl w:ilvl="2" w:tplc="F190E14E">
      <w:numFmt w:val="bullet"/>
      <w:lvlText w:val="□"/>
      <w:lvlJc w:val="left"/>
      <w:pPr>
        <w:ind w:left="1092" w:hanging="270"/>
      </w:pPr>
      <w:rPr>
        <w:rFonts w:ascii="Segoe UI Symbol" w:eastAsia="Segoe UI Symbol" w:hAnsi="Segoe UI Symbol" w:cs="Segoe UI Symbol" w:hint="default"/>
        <w:w w:val="116"/>
        <w:position w:val="1"/>
        <w:sz w:val="22"/>
        <w:szCs w:val="22"/>
        <w:lang w:val="it-IT" w:eastAsia="en-US" w:bidi="ar-SA"/>
      </w:rPr>
    </w:lvl>
    <w:lvl w:ilvl="3" w:tplc="03C4BFCC">
      <w:numFmt w:val="bullet"/>
      <w:lvlText w:val="•"/>
      <w:lvlJc w:val="left"/>
      <w:pPr>
        <w:ind w:left="2195" w:hanging="270"/>
      </w:pPr>
      <w:rPr>
        <w:rFonts w:hint="default"/>
        <w:lang w:val="it-IT" w:eastAsia="en-US" w:bidi="ar-SA"/>
      </w:rPr>
    </w:lvl>
    <w:lvl w:ilvl="4" w:tplc="839C8EE2">
      <w:numFmt w:val="bullet"/>
      <w:lvlText w:val="•"/>
      <w:lvlJc w:val="left"/>
      <w:pPr>
        <w:ind w:left="3290" w:hanging="270"/>
      </w:pPr>
      <w:rPr>
        <w:rFonts w:hint="default"/>
        <w:lang w:val="it-IT" w:eastAsia="en-US" w:bidi="ar-SA"/>
      </w:rPr>
    </w:lvl>
    <w:lvl w:ilvl="5" w:tplc="1DC09950">
      <w:numFmt w:val="bullet"/>
      <w:lvlText w:val="•"/>
      <w:lvlJc w:val="left"/>
      <w:pPr>
        <w:ind w:left="4385" w:hanging="270"/>
      </w:pPr>
      <w:rPr>
        <w:rFonts w:hint="default"/>
        <w:lang w:val="it-IT" w:eastAsia="en-US" w:bidi="ar-SA"/>
      </w:rPr>
    </w:lvl>
    <w:lvl w:ilvl="6" w:tplc="22D46D66">
      <w:numFmt w:val="bullet"/>
      <w:lvlText w:val="•"/>
      <w:lvlJc w:val="left"/>
      <w:pPr>
        <w:ind w:left="5480" w:hanging="270"/>
      </w:pPr>
      <w:rPr>
        <w:rFonts w:hint="default"/>
        <w:lang w:val="it-IT" w:eastAsia="en-US" w:bidi="ar-SA"/>
      </w:rPr>
    </w:lvl>
    <w:lvl w:ilvl="7" w:tplc="6FAEF2A6">
      <w:numFmt w:val="bullet"/>
      <w:lvlText w:val="•"/>
      <w:lvlJc w:val="left"/>
      <w:pPr>
        <w:ind w:left="6575" w:hanging="270"/>
      </w:pPr>
      <w:rPr>
        <w:rFonts w:hint="default"/>
        <w:lang w:val="it-IT" w:eastAsia="en-US" w:bidi="ar-SA"/>
      </w:rPr>
    </w:lvl>
    <w:lvl w:ilvl="8" w:tplc="6798B09C">
      <w:numFmt w:val="bullet"/>
      <w:lvlText w:val="•"/>
      <w:lvlJc w:val="left"/>
      <w:pPr>
        <w:ind w:left="7670" w:hanging="270"/>
      </w:pPr>
      <w:rPr>
        <w:rFonts w:hint="default"/>
        <w:lang w:val="it-IT" w:eastAsia="en-US" w:bidi="ar-SA"/>
      </w:rPr>
    </w:lvl>
  </w:abstractNum>
  <w:abstractNum w:abstractNumId="5" w15:restartNumberingAfterBreak="0">
    <w:nsid w:val="236A51DD"/>
    <w:multiLevelType w:val="hybridMultilevel"/>
    <w:tmpl w:val="BFAA54C4"/>
    <w:lvl w:ilvl="0" w:tplc="6C2A1D70">
      <w:start w:val="7"/>
      <w:numFmt w:val="decimal"/>
      <w:lvlText w:val="%1."/>
      <w:lvlJc w:val="left"/>
      <w:pPr>
        <w:ind w:left="347" w:hanging="235"/>
      </w:pPr>
      <w:rPr>
        <w:rFonts w:ascii="Times New Roman" w:eastAsia="Times New Roman" w:hAnsi="Times New Roman" w:cs="Times New Roman" w:hint="default"/>
        <w:b/>
        <w:bCs/>
        <w:w w:val="93"/>
        <w:sz w:val="24"/>
        <w:szCs w:val="24"/>
        <w:lang w:val="it-IT" w:eastAsia="en-US" w:bidi="ar-SA"/>
      </w:rPr>
    </w:lvl>
    <w:lvl w:ilvl="1" w:tplc="94D8944E">
      <w:numFmt w:val="bullet"/>
      <w:lvlText w:val="•"/>
      <w:lvlJc w:val="left"/>
      <w:pPr>
        <w:ind w:left="1310" w:hanging="235"/>
      </w:pPr>
      <w:rPr>
        <w:rFonts w:hint="default"/>
        <w:lang w:val="it-IT" w:eastAsia="en-US" w:bidi="ar-SA"/>
      </w:rPr>
    </w:lvl>
    <w:lvl w:ilvl="2" w:tplc="1DF6C6F4">
      <w:numFmt w:val="bullet"/>
      <w:lvlText w:val="•"/>
      <w:lvlJc w:val="left"/>
      <w:pPr>
        <w:ind w:left="2281" w:hanging="235"/>
      </w:pPr>
      <w:rPr>
        <w:rFonts w:hint="default"/>
        <w:lang w:val="it-IT" w:eastAsia="en-US" w:bidi="ar-SA"/>
      </w:rPr>
    </w:lvl>
    <w:lvl w:ilvl="3" w:tplc="27007A6A">
      <w:numFmt w:val="bullet"/>
      <w:lvlText w:val="•"/>
      <w:lvlJc w:val="left"/>
      <w:pPr>
        <w:ind w:left="3251" w:hanging="235"/>
      </w:pPr>
      <w:rPr>
        <w:rFonts w:hint="default"/>
        <w:lang w:val="it-IT" w:eastAsia="en-US" w:bidi="ar-SA"/>
      </w:rPr>
    </w:lvl>
    <w:lvl w:ilvl="4" w:tplc="C97E7D0A">
      <w:numFmt w:val="bullet"/>
      <w:lvlText w:val="•"/>
      <w:lvlJc w:val="left"/>
      <w:pPr>
        <w:ind w:left="4222" w:hanging="235"/>
      </w:pPr>
      <w:rPr>
        <w:rFonts w:hint="default"/>
        <w:lang w:val="it-IT" w:eastAsia="en-US" w:bidi="ar-SA"/>
      </w:rPr>
    </w:lvl>
    <w:lvl w:ilvl="5" w:tplc="60D2BC68">
      <w:numFmt w:val="bullet"/>
      <w:lvlText w:val="•"/>
      <w:lvlJc w:val="left"/>
      <w:pPr>
        <w:ind w:left="5193" w:hanging="235"/>
      </w:pPr>
      <w:rPr>
        <w:rFonts w:hint="default"/>
        <w:lang w:val="it-IT" w:eastAsia="en-US" w:bidi="ar-SA"/>
      </w:rPr>
    </w:lvl>
    <w:lvl w:ilvl="6" w:tplc="520E4E42">
      <w:numFmt w:val="bullet"/>
      <w:lvlText w:val="•"/>
      <w:lvlJc w:val="left"/>
      <w:pPr>
        <w:ind w:left="6163" w:hanging="235"/>
      </w:pPr>
      <w:rPr>
        <w:rFonts w:hint="default"/>
        <w:lang w:val="it-IT" w:eastAsia="en-US" w:bidi="ar-SA"/>
      </w:rPr>
    </w:lvl>
    <w:lvl w:ilvl="7" w:tplc="AC2209CC">
      <w:numFmt w:val="bullet"/>
      <w:lvlText w:val="•"/>
      <w:lvlJc w:val="left"/>
      <w:pPr>
        <w:ind w:left="7134" w:hanging="235"/>
      </w:pPr>
      <w:rPr>
        <w:rFonts w:hint="default"/>
        <w:lang w:val="it-IT" w:eastAsia="en-US" w:bidi="ar-SA"/>
      </w:rPr>
    </w:lvl>
    <w:lvl w:ilvl="8" w:tplc="270EACEC">
      <w:numFmt w:val="bullet"/>
      <w:lvlText w:val="•"/>
      <w:lvlJc w:val="left"/>
      <w:pPr>
        <w:ind w:left="8105" w:hanging="235"/>
      </w:pPr>
      <w:rPr>
        <w:rFonts w:hint="default"/>
        <w:lang w:val="it-IT" w:eastAsia="en-US" w:bidi="ar-SA"/>
      </w:rPr>
    </w:lvl>
  </w:abstractNum>
  <w:abstractNum w:abstractNumId="6" w15:restartNumberingAfterBreak="0">
    <w:nsid w:val="23A943B3"/>
    <w:multiLevelType w:val="hybridMultilevel"/>
    <w:tmpl w:val="0734B694"/>
    <w:lvl w:ilvl="0" w:tplc="86E2FE1C">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CB4A4C"/>
    <w:multiLevelType w:val="hybridMultilevel"/>
    <w:tmpl w:val="053083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B7AE8"/>
    <w:multiLevelType w:val="hybridMultilevel"/>
    <w:tmpl w:val="CE504960"/>
    <w:lvl w:ilvl="0" w:tplc="48788F80">
      <w:start w:val="1"/>
      <w:numFmt w:val="decimal"/>
      <w:lvlText w:val="%1."/>
      <w:lvlJc w:val="left"/>
      <w:pPr>
        <w:ind w:left="312" w:hanging="200"/>
      </w:pPr>
      <w:rPr>
        <w:rFonts w:hint="default"/>
        <w:b/>
        <w:bCs/>
        <w:spacing w:val="-2"/>
        <w:w w:val="79"/>
        <w:lang w:val="it-IT" w:eastAsia="en-US" w:bidi="ar-SA"/>
      </w:rPr>
    </w:lvl>
    <w:lvl w:ilvl="1" w:tplc="BE508F46">
      <w:start w:val="1"/>
      <w:numFmt w:val="lowerRoman"/>
      <w:lvlText w:val="%2)"/>
      <w:lvlJc w:val="left"/>
      <w:pPr>
        <w:ind w:left="2152" w:hanging="360"/>
      </w:pPr>
      <w:rPr>
        <w:rFonts w:ascii="Times New Roman" w:eastAsia="Times New Roman" w:hAnsi="Times New Roman" w:cs="Times New Roman" w:hint="default"/>
        <w:b/>
        <w:bCs/>
        <w:i/>
        <w:iCs/>
        <w:color w:val="FFFFFF"/>
        <w:w w:val="97"/>
        <w:sz w:val="23"/>
        <w:szCs w:val="23"/>
        <w:lang w:val="it-IT" w:eastAsia="en-US" w:bidi="ar-SA"/>
      </w:rPr>
    </w:lvl>
    <w:lvl w:ilvl="2" w:tplc="1130D162">
      <w:numFmt w:val="bullet"/>
      <w:lvlText w:val="•"/>
      <w:lvlJc w:val="left"/>
      <w:pPr>
        <w:ind w:left="3036" w:hanging="360"/>
      </w:pPr>
      <w:rPr>
        <w:rFonts w:hint="default"/>
        <w:lang w:val="it-IT" w:eastAsia="en-US" w:bidi="ar-SA"/>
      </w:rPr>
    </w:lvl>
    <w:lvl w:ilvl="3" w:tplc="25A23682">
      <w:numFmt w:val="bullet"/>
      <w:lvlText w:val="•"/>
      <w:lvlJc w:val="left"/>
      <w:pPr>
        <w:ind w:left="3912" w:hanging="360"/>
      </w:pPr>
      <w:rPr>
        <w:rFonts w:hint="default"/>
        <w:lang w:val="it-IT" w:eastAsia="en-US" w:bidi="ar-SA"/>
      </w:rPr>
    </w:lvl>
    <w:lvl w:ilvl="4" w:tplc="6F323390">
      <w:numFmt w:val="bullet"/>
      <w:lvlText w:val="•"/>
      <w:lvlJc w:val="left"/>
      <w:pPr>
        <w:ind w:left="4788" w:hanging="360"/>
      </w:pPr>
      <w:rPr>
        <w:rFonts w:hint="default"/>
        <w:lang w:val="it-IT" w:eastAsia="en-US" w:bidi="ar-SA"/>
      </w:rPr>
    </w:lvl>
    <w:lvl w:ilvl="5" w:tplc="96F263D0">
      <w:numFmt w:val="bullet"/>
      <w:lvlText w:val="•"/>
      <w:lvlJc w:val="left"/>
      <w:pPr>
        <w:ind w:left="5665" w:hanging="360"/>
      </w:pPr>
      <w:rPr>
        <w:rFonts w:hint="default"/>
        <w:lang w:val="it-IT" w:eastAsia="en-US" w:bidi="ar-SA"/>
      </w:rPr>
    </w:lvl>
    <w:lvl w:ilvl="6" w:tplc="B512E33A">
      <w:numFmt w:val="bullet"/>
      <w:lvlText w:val="•"/>
      <w:lvlJc w:val="left"/>
      <w:pPr>
        <w:ind w:left="6541" w:hanging="360"/>
      </w:pPr>
      <w:rPr>
        <w:rFonts w:hint="default"/>
        <w:lang w:val="it-IT" w:eastAsia="en-US" w:bidi="ar-SA"/>
      </w:rPr>
    </w:lvl>
    <w:lvl w:ilvl="7" w:tplc="C7407374">
      <w:numFmt w:val="bullet"/>
      <w:lvlText w:val="•"/>
      <w:lvlJc w:val="left"/>
      <w:pPr>
        <w:ind w:left="7417" w:hanging="360"/>
      </w:pPr>
      <w:rPr>
        <w:rFonts w:hint="default"/>
        <w:lang w:val="it-IT" w:eastAsia="en-US" w:bidi="ar-SA"/>
      </w:rPr>
    </w:lvl>
    <w:lvl w:ilvl="8" w:tplc="9CB8E03A">
      <w:numFmt w:val="bullet"/>
      <w:lvlText w:val="•"/>
      <w:lvlJc w:val="left"/>
      <w:pPr>
        <w:ind w:left="8293" w:hanging="360"/>
      </w:pPr>
      <w:rPr>
        <w:rFonts w:hint="default"/>
        <w:lang w:val="it-IT" w:eastAsia="en-US" w:bidi="ar-SA"/>
      </w:rPr>
    </w:lvl>
  </w:abstractNum>
  <w:abstractNum w:abstractNumId="9" w15:restartNumberingAfterBreak="0">
    <w:nsid w:val="2A357E26"/>
    <w:multiLevelType w:val="hybridMultilevel"/>
    <w:tmpl w:val="BA2A8DBA"/>
    <w:lvl w:ilvl="0" w:tplc="3AA05462">
      <w:start w:val="1"/>
      <w:numFmt w:val="bullet"/>
      <w:lvlText w:val=""/>
      <w:lvlJc w:val="left"/>
      <w:pPr>
        <w:ind w:left="1932" w:hanging="360"/>
      </w:pPr>
      <w:rPr>
        <w:rFonts w:ascii="Symbol" w:hAnsi="Symbol"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10" w15:restartNumberingAfterBreak="0">
    <w:nsid w:val="2C322348"/>
    <w:multiLevelType w:val="hybridMultilevel"/>
    <w:tmpl w:val="5316C24E"/>
    <w:lvl w:ilvl="0" w:tplc="503ECF9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E052C90"/>
    <w:multiLevelType w:val="hybridMultilevel"/>
    <w:tmpl w:val="5002F434"/>
    <w:lvl w:ilvl="0" w:tplc="917A80C4">
      <w:start w:val="5"/>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2E75047D"/>
    <w:multiLevelType w:val="multilevel"/>
    <w:tmpl w:val="AB6013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E8B4A76"/>
    <w:multiLevelType w:val="hybridMultilevel"/>
    <w:tmpl w:val="85C206D2"/>
    <w:lvl w:ilvl="0" w:tplc="1FE4DD9A">
      <w:start w:val="1"/>
      <w:numFmt w:val="lowerLetter"/>
      <w:lvlText w:val="%1)"/>
      <w:lvlJc w:val="left"/>
      <w:pPr>
        <w:ind w:left="396" w:hanging="228"/>
      </w:pPr>
      <w:rPr>
        <w:rFonts w:hint="default"/>
        <w:b/>
        <w:bCs/>
        <w:i/>
        <w:iCs/>
        <w:w w:val="90"/>
        <w:lang w:val="it-IT" w:eastAsia="en-US" w:bidi="ar-SA"/>
      </w:rPr>
    </w:lvl>
    <w:lvl w:ilvl="1" w:tplc="0D18B38A">
      <w:start w:val="1"/>
      <w:numFmt w:val="decimal"/>
      <w:lvlText w:val="%2)"/>
      <w:lvlJc w:val="left"/>
      <w:pPr>
        <w:ind w:left="825" w:hanging="356"/>
      </w:pPr>
      <w:rPr>
        <w:rFonts w:hint="default"/>
        <w:b/>
        <w:bCs/>
        <w:w w:val="78"/>
        <w:lang w:val="it-IT" w:eastAsia="en-US" w:bidi="ar-SA"/>
      </w:rPr>
    </w:lvl>
    <w:lvl w:ilvl="2" w:tplc="253CFC36">
      <w:numFmt w:val="bullet"/>
      <w:lvlText w:val="•"/>
      <w:lvlJc w:val="left"/>
      <w:pPr>
        <w:ind w:left="1845" w:hanging="356"/>
      </w:pPr>
      <w:rPr>
        <w:rFonts w:hint="default"/>
        <w:lang w:val="it-IT" w:eastAsia="en-US" w:bidi="ar-SA"/>
      </w:rPr>
    </w:lvl>
    <w:lvl w:ilvl="3" w:tplc="71F40A90">
      <w:numFmt w:val="bullet"/>
      <w:lvlText w:val="•"/>
      <w:lvlJc w:val="left"/>
      <w:pPr>
        <w:ind w:left="2870" w:hanging="356"/>
      </w:pPr>
      <w:rPr>
        <w:rFonts w:hint="default"/>
        <w:lang w:val="it-IT" w:eastAsia="en-US" w:bidi="ar-SA"/>
      </w:rPr>
    </w:lvl>
    <w:lvl w:ilvl="4" w:tplc="93861F04">
      <w:numFmt w:val="bullet"/>
      <w:lvlText w:val="•"/>
      <w:lvlJc w:val="left"/>
      <w:pPr>
        <w:ind w:left="3895" w:hanging="356"/>
      </w:pPr>
      <w:rPr>
        <w:rFonts w:hint="default"/>
        <w:lang w:val="it-IT" w:eastAsia="en-US" w:bidi="ar-SA"/>
      </w:rPr>
    </w:lvl>
    <w:lvl w:ilvl="5" w:tplc="34ECAF50">
      <w:numFmt w:val="bullet"/>
      <w:lvlText w:val="•"/>
      <w:lvlJc w:val="left"/>
      <w:pPr>
        <w:ind w:left="4920" w:hanging="356"/>
      </w:pPr>
      <w:rPr>
        <w:rFonts w:hint="default"/>
        <w:lang w:val="it-IT" w:eastAsia="en-US" w:bidi="ar-SA"/>
      </w:rPr>
    </w:lvl>
    <w:lvl w:ilvl="6" w:tplc="19820ED8">
      <w:numFmt w:val="bullet"/>
      <w:lvlText w:val="•"/>
      <w:lvlJc w:val="left"/>
      <w:pPr>
        <w:ind w:left="5945" w:hanging="356"/>
      </w:pPr>
      <w:rPr>
        <w:rFonts w:hint="default"/>
        <w:lang w:val="it-IT" w:eastAsia="en-US" w:bidi="ar-SA"/>
      </w:rPr>
    </w:lvl>
    <w:lvl w:ilvl="7" w:tplc="B908DF22">
      <w:numFmt w:val="bullet"/>
      <w:lvlText w:val="•"/>
      <w:lvlJc w:val="left"/>
      <w:pPr>
        <w:ind w:left="6970" w:hanging="356"/>
      </w:pPr>
      <w:rPr>
        <w:rFonts w:hint="default"/>
        <w:lang w:val="it-IT" w:eastAsia="en-US" w:bidi="ar-SA"/>
      </w:rPr>
    </w:lvl>
    <w:lvl w:ilvl="8" w:tplc="ADECEA50">
      <w:numFmt w:val="bullet"/>
      <w:lvlText w:val="•"/>
      <w:lvlJc w:val="left"/>
      <w:pPr>
        <w:ind w:left="7996" w:hanging="356"/>
      </w:pPr>
      <w:rPr>
        <w:rFonts w:hint="default"/>
        <w:lang w:val="it-IT" w:eastAsia="en-US" w:bidi="ar-SA"/>
      </w:rPr>
    </w:lvl>
  </w:abstractNum>
  <w:abstractNum w:abstractNumId="14" w15:restartNumberingAfterBreak="0">
    <w:nsid w:val="2F2261C8"/>
    <w:multiLevelType w:val="hybridMultilevel"/>
    <w:tmpl w:val="084EEED0"/>
    <w:lvl w:ilvl="0" w:tplc="3992E024">
      <w:start w:val="1"/>
      <w:numFmt w:val="decimal"/>
      <w:lvlText w:val="%1"/>
      <w:lvlJc w:val="left"/>
      <w:pPr>
        <w:ind w:left="640" w:hanging="245"/>
      </w:pPr>
      <w:rPr>
        <w:rFonts w:ascii="Times New Roman" w:eastAsia="Times New Roman" w:hAnsi="Times New Roman" w:cs="Times New Roman" w:hint="default"/>
        <w:w w:val="93"/>
        <w:sz w:val="20"/>
        <w:szCs w:val="20"/>
        <w:lang w:val="it-IT" w:eastAsia="en-US" w:bidi="ar-SA"/>
      </w:rPr>
    </w:lvl>
    <w:lvl w:ilvl="1" w:tplc="6D7A3D4A">
      <w:numFmt w:val="bullet"/>
      <w:lvlText w:val="□"/>
      <w:lvlJc w:val="left"/>
      <w:pPr>
        <w:ind w:left="1173" w:hanging="353"/>
      </w:pPr>
      <w:rPr>
        <w:rFonts w:ascii="Segoe UI Symbol" w:eastAsia="Segoe UI Symbol" w:hAnsi="Segoe UI Symbol" w:cs="Segoe UI Symbol" w:hint="default"/>
        <w:w w:val="159"/>
        <w:sz w:val="22"/>
        <w:szCs w:val="22"/>
        <w:lang w:val="it-IT" w:eastAsia="en-US" w:bidi="ar-SA"/>
      </w:rPr>
    </w:lvl>
    <w:lvl w:ilvl="2" w:tplc="C874A872">
      <w:numFmt w:val="bullet"/>
      <w:lvlText w:val="•"/>
      <w:lvlJc w:val="left"/>
      <w:pPr>
        <w:ind w:left="2165" w:hanging="353"/>
      </w:pPr>
      <w:rPr>
        <w:rFonts w:hint="default"/>
        <w:lang w:val="it-IT" w:eastAsia="en-US" w:bidi="ar-SA"/>
      </w:rPr>
    </w:lvl>
    <w:lvl w:ilvl="3" w:tplc="8FE6FB18">
      <w:numFmt w:val="bullet"/>
      <w:lvlText w:val="•"/>
      <w:lvlJc w:val="left"/>
      <w:pPr>
        <w:ind w:left="3150" w:hanging="353"/>
      </w:pPr>
      <w:rPr>
        <w:rFonts w:hint="default"/>
        <w:lang w:val="it-IT" w:eastAsia="en-US" w:bidi="ar-SA"/>
      </w:rPr>
    </w:lvl>
    <w:lvl w:ilvl="4" w:tplc="5C9A1E4A">
      <w:numFmt w:val="bullet"/>
      <w:lvlText w:val="•"/>
      <w:lvlJc w:val="left"/>
      <w:pPr>
        <w:ind w:left="4135" w:hanging="353"/>
      </w:pPr>
      <w:rPr>
        <w:rFonts w:hint="default"/>
        <w:lang w:val="it-IT" w:eastAsia="en-US" w:bidi="ar-SA"/>
      </w:rPr>
    </w:lvl>
    <w:lvl w:ilvl="5" w:tplc="88C45B7A">
      <w:numFmt w:val="bullet"/>
      <w:lvlText w:val="•"/>
      <w:lvlJc w:val="left"/>
      <w:pPr>
        <w:ind w:left="5120" w:hanging="353"/>
      </w:pPr>
      <w:rPr>
        <w:rFonts w:hint="default"/>
        <w:lang w:val="it-IT" w:eastAsia="en-US" w:bidi="ar-SA"/>
      </w:rPr>
    </w:lvl>
    <w:lvl w:ilvl="6" w:tplc="E8C45CAE">
      <w:numFmt w:val="bullet"/>
      <w:lvlText w:val="•"/>
      <w:lvlJc w:val="left"/>
      <w:pPr>
        <w:ind w:left="6105" w:hanging="353"/>
      </w:pPr>
      <w:rPr>
        <w:rFonts w:hint="default"/>
        <w:lang w:val="it-IT" w:eastAsia="en-US" w:bidi="ar-SA"/>
      </w:rPr>
    </w:lvl>
    <w:lvl w:ilvl="7" w:tplc="17E89044">
      <w:numFmt w:val="bullet"/>
      <w:lvlText w:val="•"/>
      <w:lvlJc w:val="left"/>
      <w:pPr>
        <w:ind w:left="7090" w:hanging="353"/>
      </w:pPr>
      <w:rPr>
        <w:rFonts w:hint="default"/>
        <w:lang w:val="it-IT" w:eastAsia="en-US" w:bidi="ar-SA"/>
      </w:rPr>
    </w:lvl>
    <w:lvl w:ilvl="8" w:tplc="EE98F25C">
      <w:numFmt w:val="bullet"/>
      <w:lvlText w:val="•"/>
      <w:lvlJc w:val="left"/>
      <w:pPr>
        <w:ind w:left="8076" w:hanging="353"/>
      </w:pPr>
      <w:rPr>
        <w:rFonts w:hint="default"/>
        <w:lang w:val="it-IT" w:eastAsia="en-US" w:bidi="ar-SA"/>
      </w:rPr>
    </w:lvl>
  </w:abstractNum>
  <w:abstractNum w:abstractNumId="15" w15:restartNumberingAfterBreak="0">
    <w:nsid w:val="33A50377"/>
    <w:multiLevelType w:val="hybridMultilevel"/>
    <w:tmpl w:val="2A4CFCCA"/>
    <w:lvl w:ilvl="0" w:tplc="6DEC6BB0">
      <w:numFmt w:val="bullet"/>
      <w:lvlText w:val="❑"/>
      <w:lvlJc w:val="left"/>
      <w:pPr>
        <w:ind w:left="820" w:hanging="425"/>
      </w:pPr>
      <w:rPr>
        <w:rFonts w:ascii="Segoe UI Symbol" w:eastAsia="Segoe UI Symbol" w:hAnsi="Segoe UI Symbol" w:cs="Segoe UI Symbol" w:hint="default"/>
        <w:w w:val="99"/>
        <w:sz w:val="20"/>
        <w:szCs w:val="20"/>
        <w:lang w:val="it-IT" w:eastAsia="en-US" w:bidi="ar-SA"/>
      </w:rPr>
    </w:lvl>
    <w:lvl w:ilvl="1" w:tplc="9774CFC8">
      <w:numFmt w:val="bullet"/>
      <w:lvlText w:val="•"/>
      <w:lvlJc w:val="left"/>
      <w:pPr>
        <w:ind w:left="1742" w:hanging="425"/>
      </w:pPr>
      <w:rPr>
        <w:rFonts w:hint="default"/>
        <w:lang w:val="it-IT" w:eastAsia="en-US" w:bidi="ar-SA"/>
      </w:rPr>
    </w:lvl>
    <w:lvl w:ilvl="2" w:tplc="B9BA950A">
      <w:numFmt w:val="bullet"/>
      <w:lvlText w:val="•"/>
      <w:lvlJc w:val="left"/>
      <w:pPr>
        <w:ind w:left="2665" w:hanging="425"/>
      </w:pPr>
      <w:rPr>
        <w:rFonts w:hint="default"/>
        <w:lang w:val="it-IT" w:eastAsia="en-US" w:bidi="ar-SA"/>
      </w:rPr>
    </w:lvl>
    <w:lvl w:ilvl="3" w:tplc="055A9BF0">
      <w:numFmt w:val="bullet"/>
      <w:lvlText w:val="•"/>
      <w:lvlJc w:val="left"/>
      <w:pPr>
        <w:ind w:left="3587" w:hanging="425"/>
      </w:pPr>
      <w:rPr>
        <w:rFonts w:hint="default"/>
        <w:lang w:val="it-IT" w:eastAsia="en-US" w:bidi="ar-SA"/>
      </w:rPr>
    </w:lvl>
    <w:lvl w:ilvl="4" w:tplc="D6DC5F16">
      <w:numFmt w:val="bullet"/>
      <w:lvlText w:val="•"/>
      <w:lvlJc w:val="left"/>
      <w:pPr>
        <w:ind w:left="4510" w:hanging="425"/>
      </w:pPr>
      <w:rPr>
        <w:rFonts w:hint="default"/>
        <w:lang w:val="it-IT" w:eastAsia="en-US" w:bidi="ar-SA"/>
      </w:rPr>
    </w:lvl>
    <w:lvl w:ilvl="5" w:tplc="2D6AB488">
      <w:numFmt w:val="bullet"/>
      <w:lvlText w:val="•"/>
      <w:lvlJc w:val="left"/>
      <w:pPr>
        <w:ind w:left="5433" w:hanging="425"/>
      </w:pPr>
      <w:rPr>
        <w:rFonts w:hint="default"/>
        <w:lang w:val="it-IT" w:eastAsia="en-US" w:bidi="ar-SA"/>
      </w:rPr>
    </w:lvl>
    <w:lvl w:ilvl="6" w:tplc="34B43FA0">
      <w:numFmt w:val="bullet"/>
      <w:lvlText w:val="•"/>
      <w:lvlJc w:val="left"/>
      <w:pPr>
        <w:ind w:left="6355" w:hanging="425"/>
      </w:pPr>
      <w:rPr>
        <w:rFonts w:hint="default"/>
        <w:lang w:val="it-IT" w:eastAsia="en-US" w:bidi="ar-SA"/>
      </w:rPr>
    </w:lvl>
    <w:lvl w:ilvl="7" w:tplc="55120B8C">
      <w:numFmt w:val="bullet"/>
      <w:lvlText w:val="•"/>
      <w:lvlJc w:val="left"/>
      <w:pPr>
        <w:ind w:left="7278" w:hanging="425"/>
      </w:pPr>
      <w:rPr>
        <w:rFonts w:hint="default"/>
        <w:lang w:val="it-IT" w:eastAsia="en-US" w:bidi="ar-SA"/>
      </w:rPr>
    </w:lvl>
    <w:lvl w:ilvl="8" w:tplc="51D84CAE">
      <w:numFmt w:val="bullet"/>
      <w:lvlText w:val="•"/>
      <w:lvlJc w:val="left"/>
      <w:pPr>
        <w:ind w:left="8201" w:hanging="425"/>
      </w:pPr>
      <w:rPr>
        <w:rFonts w:hint="default"/>
        <w:lang w:val="it-IT" w:eastAsia="en-US" w:bidi="ar-SA"/>
      </w:rPr>
    </w:lvl>
  </w:abstractNum>
  <w:abstractNum w:abstractNumId="16" w15:restartNumberingAfterBreak="0">
    <w:nsid w:val="363132C6"/>
    <w:multiLevelType w:val="multilevel"/>
    <w:tmpl w:val="24EE16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3E4216"/>
    <w:multiLevelType w:val="hybridMultilevel"/>
    <w:tmpl w:val="FF68EEAA"/>
    <w:lvl w:ilvl="0" w:tplc="915634E8">
      <w:numFmt w:val="bullet"/>
      <w:lvlText w:val="-"/>
      <w:lvlJc w:val="left"/>
      <w:pPr>
        <w:ind w:left="832" w:hanging="360"/>
      </w:pPr>
      <w:rPr>
        <w:rFonts w:ascii="Times New Roman" w:eastAsia="Times New Roman" w:hAnsi="Times New Roman" w:cs="Times New Roman" w:hint="default"/>
        <w:w w:val="93"/>
        <w:sz w:val="24"/>
        <w:szCs w:val="24"/>
        <w:lang w:val="it-IT" w:eastAsia="en-US" w:bidi="ar-SA"/>
      </w:rPr>
    </w:lvl>
    <w:lvl w:ilvl="1" w:tplc="336ABF64">
      <w:numFmt w:val="bullet"/>
      <w:lvlText w:val="•"/>
      <w:lvlJc w:val="left"/>
      <w:pPr>
        <w:ind w:left="1760" w:hanging="360"/>
      </w:pPr>
      <w:rPr>
        <w:rFonts w:hint="default"/>
        <w:lang w:val="it-IT" w:eastAsia="en-US" w:bidi="ar-SA"/>
      </w:rPr>
    </w:lvl>
    <w:lvl w:ilvl="2" w:tplc="D2049834">
      <w:numFmt w:val="bullet"/>
      <w:lvlText w:val="•"/>
      <w:lvlJc w:val="left"/>
      <w:pPr>
        <w:ind w:left="2681" w:hanging="360"/>
      </w:pPr>
      <w:rPr>
        <w:rFonts w:hint="default"/>
        <w:lang w:val="it-IT" w:eastAsia="en-US" w:bidi="ar-SA"/>
      </w:rPr>
    </w:lvl>
    <w:lvl w:ilvl="3" w:tplc="892AA25A">
      <w:numFmt w:val="bullet"/>
      <w:lvlText w:val="•"/>
      <w:lvlJc w:val="left"/>
      <w:pPr>
        <w:ind w:left="3601" w:hanging="360"/>
      </w:pPr>
      <w:rPr>
        <w:rFonts w:hint="default"/>
        <w:lang w:val="it-IT" w:eastAsia="en-US" w:bidi="ar-SA"/>
      </w:rPr>
    </w:lvl>
    <w:lvl w:ilvl="4" w:tplc="0036813E">
      <w:numFmt w:val="bullet"/>
      <w:lvlText w:val="•"/>
      <w:lvlJc w:val="left"/>
      <w:pPr>
        <w:ind w:left="4522" w:hanging="360"/>
      </w:pPr>
      <w:rPr>
        <w:rFonts w:hint="default"/>
        <w:lang w:val="it-IT" w:eastAsia="en-US" w:bidi="ar-SA"/>
      </w:rPr>
    </w:lvl>
    <w:lvl w:ilvl="5" w:tplc="B9ACAC90">
      <w:numFmt w:val="bullet"/>
      <w:lvlText w:val="•"/>
      <w:lvlJc w:val="left"/>
      <w:pPr>
        <w:ind w:left="5443" w:hanging="360"/>
      </w:pPr>
      <w:rPr>
        <w:rFonts w:hint="default"/>
        <w:lang w:val="it-IT" w:eastAsia="en-US" w:bidi="ar-SA"/>
      </w:rPr>
    </w:lvl>
    <w:lvl w:ilvl="6" w:tplc="87AEA134">
      <w:numFmt w:val="bullet"/>
      <w:lvlText w:val="•"/>
      <w:lvlJc w:val="left"/>
      <w:pPr>
        <w:ind w:left="6363" w:hanging="360"/>
      </w:pPr>
      <w:rPr>
        <w:rFonts w:hint="default"/>
        <w:lang w:val="it-IT" w:eastAsia="en-US" w:bidi="ar-SA"/>
      </w:rPr>
    </w:lvl>
    <w:lvl w:ilvl="7" w:tplc="E132EEB6">
      <w:numFmt w:val="bullet"/>
      <w:lvlText w:val="•"/>
      <w:lvlJc w:val="left"/>
      <w:pPr>
        <w:ind w:left="7284" w:hanging="360"/>
      </w:pPr>
      <w:rPr>
        <w:rFonts w:hint="default"/>
        <w:lang w:val="it-IT" w:eastAsia="en-US" w:bidi="ar-SA"/>
      </w:rPr>
    </w:lvl>
    <w:lvl w:ilvl="8" w:tplc="5060CA98">
      <w:numFmt w:val="bullet"/>
      <w:lvlText w:val="•"/>
      <w:lvlJc w:val="left"/>
      <w:pPr>
        <w:ind w:left="8205" w:hanging="360"/>
      </w:pPr>
      <w:rPr>
        <w:rFonts w:hint="default"/>
        <w:lang w:val="it-IT" w:eastAsia="en-US" w:bidi="ar-SA"/>
      </w:rPr>
    </w:lvl>
  </w:abstractNum>
  <w:abstractNum w:abstractNumId="18" w15:restartNumberingAfterBreak="0">
    <w:nsid w:val="418B286D"/>
    <w:multiLevelType w:val="hybridMultilevel"/>
    <w:tmpl w:val="3014F3C2"/>
    <w:lvl w:ilvl="0" w:tplc="0C52E8E8">
      <w:start w:val="1"/>
      <w:numFmt w:val="decimal"/>
      <w:lvlText w:val="%1."/>
      <w:lvlJc w:val="left"/>
      <w:pPr>
        <w:ind w:left="787" w:hanging="203"/>
      </w:pPr>
      <w:rPr>
        <w:rFonts w:ascii="Times New Roman" w:eastAsia="Times New Roman" w:hAnsi="Times New Roman" w:cs="Times New Roman" w:hint="default"/>
        <w:color w:val="FFFFFF"/>
        <w:w w:val="87"/>
        <w:sz w:val="22"/>
        <w:szCs w:val="22"/>
        <w:lang w:val="it-IT" w:eastAsia="en-US" w:bidi="ar-SA"/>
      </w:rPr>
    </w:lvl>
    <w:lvl w:ilvl="1" w:tplc="8D707E14">
      <w:numFmt w:val="bullet"/>
      <w:lvlText w:val="•"/>
      <w:lvlJc w:val="left"/>
      <w:pPr>
        <w:ind w:left="1666" w:hanging="203"/>
      </w:pPr>
      <w:rPr>
        <w:rFonts w:hint="default"/>
        <w:lang w:val="it-IT" w:eastAsia="en-US" w:bidi="ar-SA"/>
      </w:rPr>
    </w:lvl>
    <w:lvl w:ilvl="2" w:tplc="2346B246">
      <w:numFmt w:val="bullet"/>
      <w:lvlText w:val="•"/>
      <w:lvlJc w:val="left"/>
      <w:pPr>
        <w:ind w:left="2552" w:hanging="203"/>
      </w:pPr>
      <w:rPr>
        <w:rFonts w:hint="default"/>
        <w:lang w:val="it-IT" w:eastAsia="en-US" w:bidi="ar-SA"/>
      </w:rPr>
    </w:lvl>
    <w:lvl w:ilvl="3" w:tplc="BCA481B6">
      <w:numFmt w:val="bullet"/>
      <w:lvlText w:val="•"/>
      <w:lvlJc w:val="left"/>
      <w:pPr>
        <w:ind w:left="3438" w:hanging="203"/>
      </w:pPr>
      <w:rPr>
        <w:rFonts w:hint="default"/>
        <w:lang w:val="it-IT" w:eastAsia="en-US" w:bidi="ar-SA"/>
      </w:rPr>
    </w:lvl>
    <w:lvl w:ilvl="4" w:tplc="BC3A7242">
      <w:numFmt w:val="bullet"/>
      <w:lvlText w:val="•"/>
      <w:lvlJc w:val="left"/>
      <w:pPr>
        <w:ind w:left="4324" w:hanging="203"/>
      </w:pPr>
      <w:rPr>
        <w:rFonts w:hint="default"/>
        <w:lang w:val="it-IT" w:eastAsia="en-US" w:bidi="ar-SA"/>
      </w:rPr>
    </w:lvl>
    <w:lvl w:ilvl="5" w:tplc="BFEAFED8">
      <w:numFmt w:val="bullet"/>
      <w:lvlText w:val="•"/>
      <w:lvlJc w:val="left"/>
      <w:pPr>
        <w:ind w:left="5210" w:hanging="203"/>
      </w:pPr>
      <w:rPr>
        <w:rFonts w:hint="default"/>
        <w:lang w:val="it-IT" w:eastAsia="en-US" w:bidi="ar-SA"/>
      </w:rPr>
    </w:lvl>
    <w:lvl w:ilvl="6" w:tplc="355EADDC">
      <w:numFmt w:val="bullet"/>
      <w:lvlText w:val="•"/>
      <w:lvlJc w:val="left"/>
      <w:pPr>
        <w:ind w:left="6096" w:hanging="203"/>
      </w:pPr>
      <w:rPr>
        <w:rFonts w:hint="default"/>
        <w:lang w:val="it-IT" w:eastAsia="en-US" w:bidi="ar-SA"/>
      </w:rPr>
    </w:lvl>
    <w:lvl w:ilvl="7" w:tplc="52C26752">
      <w:numFmt w:val="bullet"/>
      <w:lvlText w:val="•"/>
      <w:lvlJc w:val="left"/>
      <w:pPr>
        <w:ind w:left="6982" w:hanging="203"/>
      </w:pPr>
      <w:rPr>
        <w:rFonts w:hint="default"/>
        <w:lang w:val="it-IT" w:eastAsia="en-US" w:bidi="ar-SA"/>
      </w:rPr>
    </w:lvl>
    <w:lvl w:ilvl="8" w:tplc="3A20707C">
      <w:numFmt w:val="bullet"/>
      <w:lvlText w:val="•"/>
      <w:lvlJc w:val="left"/>
      <w:pPr>
        <w:ind w:left="7868" w:hanging="203"/>
      </w:pPr>
      <w:rPr>
        <w:rFonts w:hint="default"/>
        <w:lang w:val="it-IT" w:eastAsia="en-US" w:bidi="ar-SA"/>
      </w:rPr>
    </w:lvl>
  </w:abstractNum>
  <w:abstractNum w:abstractNumId="19" w15:restartNumberingAfterBreak="0">
    <w:nsid w:val="42F45FF8"/>
    <w:multiLevelType w:val="hybridMultilevel"/>
    <w:tmpl w:val="A978EC5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E9717F"/>
    <w:multiLevelType w:val="hybridMultilevel"/>
    <w:tmpl w:val="701A3292"/>
    <w:lvl w:ilvl="0" w:tplc="B3647044">
      <w:start w:val="1"/>
      <w:numFmt w:val="decimal"/>
      <w:lvlText w:val="%1)"/>
      <w:lvlJc w:val="left"/>
      <w:pPr>
        <w:ind w:left="832"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21" w15:restartNumberingAfterBreak="0">
    <w:nsid w:val="4B567875"/>
    <w:multiLevelType w:val="hybridMultilevel"/>
    <w:tmpl w:val="E44E0F50"/>
    <w:lvl w:ilvl="0" w:tplc="CA0238BA">
      <w:start w:val="6"/>
      <w:numFmt w:val="decimal"/>
      <w:lvlText w:val="%1."/>
      <w:lvlJc w:val="left"/>
      <w:pPr>
        <w:ind w:left="832" w:hanging="360"/>
      </w:pPr>
      <w:rPr>
        <w:rFonts w:ascii="Times New Roman" w:eastAsia="Times New Roman" w:hAnsi="Times New Roman" w:cs="Times New Roman" w:hint="default"/>
        <w:w w:val="87"/>
        <w:sz w:val="22"/>
        <w:szCs w:val="22"/>
        <w:lang w:val="it-IT" w:eastAsia="en-US" w:bidi="ar-SA"/>
      </w:rPr>
    </w:lvl>
    <w:lvl w:ilvl="1" w:tplc="AF90C084">
      <w:numFmt w:val="bullet"/>
      <w:lvlText w:val="•"/>
      <w:lvlJc w:val="left"/>
      <w:pPr>
        <w:ind w:left="1760" w:hanging="360"/>
      </w:pPr>
      <w:rPr>
        <w:rFonts w:hint="default"/>
        <w:lang w:val="it-IT" w:eastAsia="en-US" w:bidi="ar-SA"/>
      </w:rPr>
    </w:lvl>
    <w:lvl w:ilvl="2" w:tplc="11986C24">
      <w:numFmt w:val="bullet"/>
      <w:lvlText w:val="•"/>
      <w:lvlJc w:val="left"/>
      <w:pPr>
        <w:ind w:left="2681" w:hanging="360"/>
      </w:pPr>
      <w:rPr>
        <w:rFonts w:hint="default"/>
        <w:lang w:val="it-IT" w:eastAsia="en-US" w:bidi="ar-SA"/>
      </w:rPr>
    </w:lvl>
    <w:lvl w:ilvl="3" w:tplc="0278FF22">
      <w:numFmt w:val="bullet"/>
      <w:lvlText w:val="•"/>
      <w:lvlJc w:val="left"/>
      <w:pPr>
        <w:ind w:left="3601" w:hanging="360"/>
      </w:pPr>
      <w:rPr>
        <w:rFonts w:hint="default"/>
        <w:lang w:val="it-IT" w:eastAsia="en-US" w:bidi="ar-SA"/>
      </w:rPr>
    </w:lvl>
    <w:lvl w:ilvl="4" w:tplc="72C0C9CC">
      <w:numFmt w:val="bullet"/>
      <w:lvlText w:val="•"/>
      <w:lvlJc w:val="left"/>
      <w:pPr>
        <w:ind w:left="4522" w:hanging="360"/>
      </w:pPr>
      <w:rPr>
        <w:rFonts w:hint="default"/>
        <w:lang w:val="it-IT" w:eastAsia="en-US" w:bidi="ar-SA"/>
      </w:rPr>
    </w:lvl>
    <w:lvl w:ilvl="5" w:tplc="284C7A5E">
      <w:numFmt w:val="bullet"/>
      <w:lvlText w:val="•"/>
      <w:lvlJc w:val="left"/>
      <w:pPr>
        <w:ind w:left="5443" w:hanging="360"/>
      </w:pPr>
      <w:rPr>
        <w:rFonts w:hint="default"/>
        <w:lang w:val="it-IT" w:eastAsia="en-US" w:bidi="ar-SA"/>
      </w:rPr>
    </w:lvl>
    <w:lvl w:ilvl="6" w:tplc="F3B61742">
      <w:numFmt w:val="bullet"/>
      <w:lvlText w:val="•"/>
      <w:lvlJc w:val="left"/>
      <w:pPr>
        <w:ind w:left="6363" w:hanging="360"/>
      </w:pPr>
      <w:rPr>
        <w:rFonts w:hint="default"/>
        <w:lang w:val="it-IT" w:eastAsia="en-US" w:bidi="ar-SA"/>
      </w:rPr>
    </w:lvl>
    <w:lvl w:ilvl="7" w:tplc="A9969432">
      <w:numFmt w:val="bullet"/>
      <w:lvlText w:val="•"/>
      <w:lvlJc w:val="left"/>
      <w:pPr>
        <w:ind w:left="7284" w:hanging="360"/>
      </w:pPr>
      <w:rPr>
        <w:rFonts w:hint="default"/>
        <w:lang w:val="it-IT" w:eastAsia="en-US" w:bidi="ar-SA"/>
      </w:rPr>
    </w:lvl>
    <w:lvl w:ilvl="8" w:tplc="A652036A">
      <w:numFmt w:val="bullet"/>
      <w:lvlText w:val="•"/>
      <w:lvlJc w:val="left"/>
      <w:pPr>
        <w:ind w:left="8205" w:hanging="360"/>
      </w:pPr>
      <w:rPr>
        <w:rFonts w:hint="default"/>
        <w:lang w:val="it-IT" w:eastAsia="en-US" w:bidi="ar-SA"/>
      </w:rPr>
    </w:lvl>
  </w:abstractNum>
  <w:abstractNum w:abstractNumId="22" w15:restartNumberingAfterBreak="0">
    <w:nsid w:val="57A77C23"/>
    <w:multiLevelType w:val="multilevel"/>
    <w:tmpl w:val="1E1A2F4C"/>
    <w:lvl w:ilvl="0">
      <w:start w:val="1"/>
      <w:numFmt w:val="bullet"/>
      <w:lvlText w:val="-"/>
      <w:lvlJc w:val="left"/>
      <w:pPr>
        <w:ind w:left="720" w:hanging="360"/>
      </w:pPr>
      <w:rPr>
        <w:rFonts w:ascii="Garamond" w:eastAsia="Garamond" w:hAnsi="Garamond" w:cs="Garamond"/>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A791E8B"/>
    <w:multiLevelType w:val="hybridMultilevel"/>
    <w:tmpl w:val="BE4A8FE4"/>
    <w:lvl w:ilvl="0" w:tplc="BB461020">
      <w:numFmt w:val="bullet"/>
      <w:lvlText w:val="-"/>
      <w:lvlJc w:val="left"/>
      <w:pPr>
        <w:ind w:left="820" w:hanging="425"/>
      </w:pPr>
      <w:rPr>
        <w:rFonts w:ascii="Times New Roman" w:eastAsia="Times New Roman" w:hAnsi="Times New Roman" w:cs="Times New Roman" w:hint="default"/>
        <w:w w:val="100"/>
        <w:sz w:val="22"/>
        <w:szCs w:val="22"/>
        <w:lang w:val="it-IT" w:eastAsia="en-US" w:bidi="ar-SA"/>
      </w:rPr>
    </w:lvl>
    <w:lvl w:ilvl="1" w:tplc="E93A04C2">
      <w:numFmt w:val="bullet"/>
      <w:lvlText w:val="•"/>
      <w:lvlJc w:val="left"/>
      <w:pPr>
        <w:ind w:left="1742" w:hanging="425"/>
      </w:pPr>
      <w:rPr>
        <w:rFonts w:hint="default"/>
        <w:lang w:val="it-IT" w:eastAsia="en-US" w:bidi="ar-SA"/>
      </w:rPr>
    </w:lvl>
    <w:lvl w:ilvl="2" w:tplc="E17E4B66">
      <w:numFmt w:val="bullet"/>
      <w:lvlText w:val="•"/>
      <w:lvlJc w:val="left"/>
      <w:pPr>
        <w:ind w:left="2665" w:hanging="425"/>
      </w:pPr>
      <w:rPr>
        <w:rFonts w:hint="default"/>
        <w:lang w:val="it-IT" w:eastAsia="en-US" w:bidi="ar-SA"/>
      </w:rPr>
    </w:lvl>
    <w:lvl w:ilvl="3" w:tplc="ED9E5770">
      <w:numFmt w:val="bullet"/>
      <w:lvlText w:val="•"/>
      <w:lvlJc w:val="left"/>
      <w:pPr>
        <w:ind w:left="3587" w:hanging="425"/>
      </w:pPr>
      <w:rPr>
        <w:rFonts w:hint="default"/>
        <w:lang w:val="it-IT" w:eastAsia="en-US" w:bidi="ar-SA"/>
      </w:rPr>
    </w:lvl>
    <w:lvl w:ilvl="4" w:tplc="B8228406">
      <w:numFmt w:val="bullet"/>
      <w:lvlText w:val="•"/>
      <w:lvlJc w:val="left"/>
      <w:pPr>
        <w:ind w:left="4510" w:hanging="425"/>
      </w:pPr>
      <w:rPr>
        <w:rFonts w:hint="default"/>
        <w:lang w:val="it-IT" w:eastAsia="en-US" w:bidi="ar-SA"/>
      </w:rPr>
    </w:lvl>
    <w:lvl w:ilvl="5" w:tplc="49360948">
      <w:numFmt w:val="bullet"/>
      <w:lvlText w:val="•"/>
      <w:lvlJc w:val="left"/>
      <w:pPr>
        <w:ind w:left="5433" w:hanging="425"/>
      </w:pPr>
      <w:rPr>
        <w:rFonts w:hint="default"/>
        <w:lang w:val="it-IT" w:eastAsia="en-US" w:bidi="ar-SA"/>
      </w:rPr>
    </w:lvl>
    <w:lvl w:ilvl="6" w:tplc="8334F758">
      <w:numFmt w:val="bullet"/>
      <w:lvlText w:val="•"/>
      <w:lvlJc w:val="left"/>
      <w:pPr>
        <w:ind w:left="6355" w:hanging="425"/>
      </w:pPr>
      <w:rPr>
        <w:rFonts w:hint="default"/>
        <w:lang w:val="it-IT" w:eastAsia="en-US" w:bidi="ar-SA"/>
      </w:rPr>
    </w:lvl>
    <w:lvl w:ilvl="7" w:tplc="980C9D4E">
      <w:numFmt w:val="bullet"/>
      <w:lvlText w:val="•"/>
      <w:lvlJc w:val="left"/>
      <w:pPr>
        <w:ind w:left="7278" w:hanging="425"/>
      </w:pPr>
      <w:rPr>
        <w:rFonts w:hint="default"/>
        <w:lang w:val="it-IT" w:eastAsia="en-US" w:bidi="ar-SA"/>
      </w:rPr>
    </w:lvl>
    <w:lvl w:ilvl="8" w:tplc="5F34AEA2">
      <w:numFmt w:val="bullet"/>
      <w:lvlText w:val="•"/>
      <w:lvlJc w:val="left"/>
      <w:pPr>
        <w:ind w:left="8201" w:hanging="425"/>
      </w:pPr>
      <w:rPr>
        <w:rFonts w:hint="default"/>
        <w:lang w:val="it-IT" w:eastAsia="en-US" w:bidi="ar-SA"/>
      </w:rPr>
    </w:lvl>
  </w:abstractNum>
  <w:abstractNum w:abstractNumId="24" w15:restartNumberingAfterBreak="0">
    <w:nsid w:val="5B894D76"/>
    <w:multiLevelType w:val="hybridMultilevel"/>
    <w:tmpl w:val="EAE6F842"/>
    <w:lvl w:ilvl="0" w:tplc="C23C09A2">
      <w:numFmt w:val="bullet"/>
      <w:lvlText w:val="▪"/>
      <w:lvlJc w:val="left"/>
      <w:pPr>
        <w:ind w:left="1507" w:hanging="360"/>
      </w:pPr>
      <w:rPr>
        <w:rFonts w:hint="default"/>
        <w:w w:val="100"/>
        <w:lang w:val="it-IT" w:eastAsia="en-US" w:bidi="ar-SA"/>
      </w:rPr>
    </w:lvl>
    <w:lvl w:ilvl="1" w:tplc="E7125184">
      <w:numFmt w:val="bullet"/>
      <w:lvlText w:val="•"/>
      <w:lvlJc w:val="left"/>
      <w:pPr>
        <w:ind w:left="2314" w:hanging="360"/>
      </w:pPr>
      <w:rPr>
        <w:rFonts w:hint="default"/>
        <w:lang w:val="it-IT" w:eastAsia="en-US" w:bidi="ar-SA"/>
      </w:rPr>
    </w:lvl>
    <w:lvl w:ilvl="2" w:tplc="A0F0B9CC">
      <w:numFmt w:val="bullet"/>
      <w:lvlText w:val="•"/>
      <w:lvlJc w:val="left"/>
      <w:pPr>
        <w:ind w:left="3128" w:hanging="360"/>
      </w:pPr>
      <w:rPr>
        <w:rFonts w:hint="default"/>
        <w:lang w:val="it-IT" w:eastAsia="en-US" w:bidi="ar-SA"/>
      </w:rPr>
    </w:lvl>
    <w:lvl w:ilvl="3" w:tplc="3562437E">
      <w:numFmt w:val="bullet"/>
      <w:lvlText w:val="•"/>
      <w:lvlJc w:val="left"/>
      <w:pPr>
        <w:ind w:left="3942" w:hanging="360"/>
      </w:pPr>
      <w:rPr>
        <w:rFonts w:hint="default"/>
        <w:lang w:val="it-IT" w:eastAsia="en-US" w:bidi="ar-SA"/>
      </w:rPr>
    </w:lvl>
    <w:lvl w:ilvl="4" w:tplc="99BEB5B8">
      <w:numFmt w:val="bullet"/>
      <w:lvlText w:val="•"/>
      <w:lvlJc w:val="left"/>
      <w:pPr>
        <w:ind w:left="4756" w:hanging="360"/>
      </w:pPr>
      <w:rPr>
        <w:rFonts w:hint="default"/>
        <w:lang w:val="it-IT" w:eastAsia="en-US" w:bidi="ar-SA"/>
      </w:rPr>
    </w:lvl>
    <w:lvl w:ilvl="5" w:tplc="C51A0778">
      <w:numFmt w:val="bullet"/>
      <w:lvlText w:val="•"/>
      <w:lvlJc w:val="left"/>
      <w:pPr>
        <w:ind w:left="5570" w:hanging="360"/>
      </w:pPr>
      <w:rPr>
        <w:rFonts w:hint="default"/>
        <w:lang w:val="it-IT" w:eastAsia="en-US" w:bidi="ar-SA"/>
      </w:rPr>
    </w:lvl>
    <w:lvl w:ilvl="6" w:tplc="D61468FE">
      <w:numFmt w:val="bullet"/>
      <w:lvlText w:val="•"/>
      <w:lvlJc w:val="left"/>
      <w:pPr>
        <w:ind w:left="6384" w:hanging="360"/>
      </w:pPr>
      <w:rPr>
        <w:rFonts w:hint="default"/>
        <w:lang w:val="it-IT" w:eastAsia="en-US" w:bidi="ar-SA"/>
      </w:rPr>
    </w:lvl>
    <w:lvl w:ilvl="7" w:tplc="57DE4F38">
      <w:numFmt w:val="bullet"/>
      <w:lvlText w:val="•"/>
      <w:lvlJc w:val="left"/>
      <w:pPr>
        <w:ind w:left="7198" w:hanging="360"/>
      </w:pPr>
      <w:rPr>
        <w:rFonts w:hint="default"/>
        <w:lang w:val="it-IT" w:eastAsia="en-US" w:bidi="ar-SA"/>
      </w:rPr>
    </w:lvl>
    <w:lvl w:ilvl="8" w:tplc="6AC2FCF6">
      <w:numFmt w:val="bullet"/>
      <w:lvlText w:val="•"/>
      <w:lvlJc w:val="left"/>
      <w:pPr>
        <w:ind w:left="8012" w:hanging="360"/>
      </w:pPr>
      <w:rPr>
        <w:rFonts w:hint="default"/>
        <w:lang w:val="it-IT" w:eastAsia="en-US" w:bidi="ar-SA"/>
      </w:rPr>
    </w:lvl>
  </w:abstractNum>
  <w:abstractNum w:abstractNumId="25" w15:restartNumberingAfterBreak="0">
    <w:nsid w:val="629253F7"/>
    <w:multiLevelType w:val="hybridMultilevel"/>
    <w:tmpl w:val="E9C48552"/>
    <w:lvl w:ilvl="0" w:tplc="0A56D36A">
      <w:numFmt w:val="bullet"/>
      <w:lvlText w:val="-"/>
      <w:lvlJc w:val="left"/>
      <w:pPr>
        <w:ind w:left="396" w:hanging="113"/>
      </w:pPr>
      <w:rPr>
        <w:rFonts w:ascii="Times New Roman" w:eastAsia="Times New Roman" w:hAnsi="Times New Roman" w:cs="Times New Roman" w:hint="default"/>
        <w:w w:val="93"/>
        <w:sz w:val="20"/>
        <w:szCs w:val="20"/>
        <w:lang w:val="it-IT" w:eastAsia="en-US" w:bidi="ar-SA"/>
      </w:rPr>
    </w:lvl>
    <w:lvl w:ilvl="1" w:tplc="2578D4EE">
      <w:numFmt w:val="bullet"/>
      <w:lvlText w:val="•"/>
      <w:lvlJc w:val="left"/>
      <w:pPr>
        <w:ind w:left="1364" w:hanging="113"/>
      </w:pPr>
      <w:rPr>
        <w:rFonts w:hint="default"/>
        <w:lang w:val="it-IT" w:eastAsia="en-US" w:bidi="ar-SA"/>
      </w:rPr>
    </w:lvl>
    <w:lvl w:ilvl="2" w:tplc="4112995A">
      <w:numFmt w:val="bullet"/>
      <w:lvlText w:val="•"/>
      <w:lvlJc w:val="left"/>
      <w:pPr>
        <w:ind w:left="2329" w:hanging="113"/>
      </w:pPr>
      <w:rPr>
        <w:rFonts w:hint="default"/>
        <w:lang w:val="it-IT" w:eastAsia="en-US" w:bidi="ar-SA"/>
      </w:rPr>
    </w:lvl>
    <w:lvl w:ilvl="3" w:tplc="7A56D7DE">
      <w:numFmt w:val="bullet"/>
      <w:lvlText w:val="•"/>
      <w:lvlJc w:val="left"/>
      <w:pPr>
        <w:ind w:left="3293" w:hanging="113"/>
      </w:pPr>
      <w:rPr>
        <w:rFonts w:hint="default"/>
        <w:lang w:val="it-IT" w:eastAsia="en-US" w:bidi="ar-SA"/>
      </w:rPr>
    </w:lvl>
    <w:lvl w:ilvl="4" w:tplc="0596B512">
      <w:numFmt w:val="bullet"/>
      <w:lvlText w:val="•"/>
      <w:lvlJc w:val="left"/>
      <w:pPr>
        <w:ind w:left="4258" w:hanging="113"/>
      </w:pPr>
      <w:rPr>
        <w:rFonts w:hint="default"/>
        <w:lang w:val="it-IT" w:eastAsia="en-US" w:bidi="ar-SA"/>
      </w:rPr>
    </w:lvl>
    <w:lvl w:ilvl="5" w:tplc="0FD6F2E6">
      <w:numFmt w:val="bullet"/>
      <w:lvlText w:val="•"/>
      <w:lvlJc w:val="left"/>
      <w:pPr>
        <w:ind w:left="5223" w:hanging="113"/>
      </w:pPr>
      <w:rPr>
        <w:rFonts w:hint="default"/>
        <w:lang w:val="it-IT" w:eastAsia="en-US" w:bidi="ar-SA"/>
      </w:rPr>
    </w:lvl>
    <w:lvl w:ilvl="6" w:tplc="FD100694">
      <w:numFmt w:val="bullet"/>
      <w:lvlText w:val="•"/>
      <w:lvlJc w:val="left"/>
      <w:pPr>
        <w:ind w:left="6187" w:hanging="113"/>
      </w:pPr>
      <w:rPr>
        <w:rFonts w:hint="default"/>
        <w:lang w:val="it-IT" w:eastAsia="en-US" w:bidi="ar-SA"/>
      </w:rPr>
    </w:lvl>
    <w:lvl w:ilvl="7" w:tplc="CD7A3E9A">
      <w:numFmt w:val="bullet"/>
      <w:lvlText w:val="•"/>
      <w:lvlJc w:val="left"/>
      <w:pPr>
        <w:ind w:left="7152" w:hanging="113"/>
      </w:pPr>
      <w:rPr>
        <w:rFonts w:hint="default"/>
        <w:lang w:val="it-IT" w:eastAsia="en-US" w:bidi="ar-SA"/>
      </w:rPr>
    </w:lvl>
    <w:lvl w:ilvl="8" w:tplc="299A43BE">
      <w:numFmt w:val="bullet"/>
      <w:lvlText w:val="•"/>
      <w:lvlJc w:val="left"/>
      <w:pPr>
        <w:ind w:left="8117" w:hanging="113"/>
      </w:pPr>
      <w:rPr>
        <w:rFonts w:hint="default"/>
        <w:lang w:val="it-IT" w:eastAsia="en-US" w:bidi="ar-SA"/>
      </w:rPr>
    </w:lvl>
  </w:abstractNum>
  <w:abstractNum w:abstractNumId="26" w15:restartNumberingAfterBreak="0">
    <w:nsid w:val="63003080"/>
    <w:multiLevelType w:val="hybridMultilevel"/>
    <w:tmpl w:val="A81CE62C"/>
    <w:lvl w:ilvl="0" w:tplc="A588D28E">
      <w:numFmt w:val="bullet"/>
      <w:lvlText w:val="-"/>
      <w:lvlJc w:val="left"/>
      <w:pPr>
        <w:ind w:left="398" w:hanging="113"/>
      </w:pPr>
      <w:rPr>
        <w:rFonts w:ascii="Times New Roman" w:eastAsia="Times New Roman" w:hAnsi="Times New Roman" w:cs="Times New Roman" w:hint="default"/>
        <w:w w:val="93"/>
        <w:sz w:val="20"/>
        <w:szCs w:val="20"/>
        <w:lang w:val="it-IT" w:eastAsia="en-US" w:bidi="ar-SA"/>
      </w:rPr>
    </w:lvl>
    <w:lvl w:ilvl="1" w:tplc="3A0C3F2A">
      <w:numFmt w:val="bullet"/>
      <w:lvlText w:val="•"/>
      <w:lvlJc w:val="left"/>
      <w:pPr>
        <w:ind w:left="1346" w:hanging="113"/>
      </w:pPr>
      <w:rPr>
        <w:rFonts w:hint="default"/>
        <w:lang w:val="it-IT" w:eastAsia="en-US" w:bidi="ar-SA"/>
      </w:rPr>
    </w:lvl>
    <w:lvl w:ilvl="2" w:tplc="96D04DF0">
      <w:numFmt w:val="bullet"/>
      <w:lvlText w:val="•"/>
      <w:lvlJc w:val="left"/>
      <w:pPr>
        <w:ind w:left="2292" w:hanging="113"/>
      </w:pPr>
      <w:rPr>
        <w:rFonts w:hint="default"/>
        <w:lang w:val="it-IT" w:eastAsia="en-US" w:bidi="ar-SA"/>
      </w:rPr>
    </w:lvl>
    <w:lvl w:ilvl="3" w:tplc="4EE6657E">
      <w:numFmt w:val="bullet"/>
      <w:lvlText w:val="•"/>
      <w:lvlJc w:val="left"/>
      <w:pPr>
        <w:ind w:left="3238" w:hanging="113"/>
      </w:pPr>
      <w:rPr>
        <w:rFonts w:hint="default"/>
        <w:lang w:val="it-IT" w:eastAsia="en-US" w:bidi="ar-SA"/>
      </w:rPr>
    </w:lvl>
    <w:lvl w:ilvl="4" w:tplc="2DA0AC4A">
      <w:numFmt w:val="bullet"/>
      <w:lvlText w:val="•"/>
      <w:lvlJc w:val="left"/>
      <w:pPr>
        <w:ind w:left="4184" w:hanging="113"/>
      </w:pPr>
      <w:rPr>
        <w:rFonts w:hint="default"/>
        <w:lang w:val="it-IT" w:eastAsia="en-US" w:bidi="ar-SA"/>
      </w:rPr>
    </w:lvl>
    <w:lvl w:ilvl="5" w:tplc="038EBD36">
      <w:numFmt w:val="bullet"/>
      <w:lvlText w:val="•"/>
      <w:lvlJc w:val="left"/>
      <w:pPr>
        <w:ind w:left="5130" w:hanging="113"/>
      </w:pPr>
      <w:rPr>
        <w:rFonts w:hint="default"/>
        <w:lang w:val="it-IT" w:eastAsia="en-US" w:bidi="ar-SA"/>
      </w:rPr>
    </w:lvl>
    <w:lvl w:ilvl="6" w:tplc="46741FAC">
      <w:numFmt w:val="bullet"/>
      <w:lvlText w:val="•"/>
      <w:lvlJc w:val="left"/>
      <w:pPr>
        <w:ind w:left="6076" w:hanging="113"/>
      </w:pPr>
      <w:rPr>
        <w:rFonts w:hint="default"/>
        <w:lang w:val="it-IT" w:eastAsia="en-US" w:bidi="ar-SA"/>
      </w:rPr>
    </w:lvl>
    <w:lvl w:ilvl="7" w:tplc="65BEC124">
      <w:numFmt w:val="bullet"/>
      <w:lvlText w:val="•"/>
      <w:lvlJc w:val="left"/>
      <w:pPr>
        <w:ind w:left="7022" w:hanging="113"/>
      </w:pPr>
      <w:rPr>
        <w:rFonts w:hint="default"/>
        <w:lang w:val="it-IT" w:eastAsia="en-US" w:bidi="ar-SA"/>
      </w:rPr>
    </w:lvl>
    <w:lvl w:ilvl="8" w:tplc="250E16C8">
      <w:numFmt w:val="bullet"/>
      <w:lvlText w:val="•"/>
      <w:lvlJc w:val="left"/>
      <w:pPr>
        <w:ind w:left="7968" w:hanging="113"/>
      </w:pPr>
      <w:rPr>
        <w:rFonts w:hint="default"/>
        <w:lang w:val="it-IT" w:eastAsia="en-US" w:bidi="ar-SA"/>
      </w:rPr>
    </w:lvl>
  </w:abstractNum>
  <w:abstractNum w:abstractNumId="27" w15:restartNumberingAfterBreak="0">
    <w:nsid w:val="635D23B1"/>
    <w:multiLevelType w:val="hybridMultilevel"/>
    <w:tmpl w:val="C9903726"/>
    <w:lvl w:ilvl="0" w:tplc="F8EE736C">
      <w:numFmt w:val="bullet"/>
      <w:lvlText w:val="o"/>
      <w:lvlJc w:val="left"/>
      <w:pPr>
        <w:ind w:left="114" w:hanging="708"/>
      </w:pPr>
      <w:rPr>
        <w:rFonts w:ascii="Times New Roman" w:eastAsia="Times New Roman" w:hAnsi="Times New Roman" w:cs="Times New Roman" w:hint="default"/>
        <w:b w:val="0"/>
        <w:bCs w:val="0"/>
        <w:i w:val="0"/>
        <w:iCs w:val="0"/>
        <w:spacing w:val="0"/>
        <w:w w:val="102"/>
        <w:sz w:val="24"/>
        <w:szCs w:val="24"/>
        <w:lang w:val="it-IT" w:eastAsia="en-US" w:bidi="ar-SA"/>
      </w:rPr>
    </w:lvl>
    <w:lvl w:ilvl="1" w:tplc="840ADAAA">
      <w:numFmt w:val="bullet"/>
      <w:lvlText w:val="•"/>
      <w:lvlJc w:val="left"/>
      <w:pPr>
        <w:ind w:left="1124" w:hanging="708"/>
      </w:pPr>
      <w:rPr>
        <w:rFonts w:hint="default"/>
        <w:lang w:val="it-IT" w:eastAsia="en-US" w:bidi="ar-SA"/>
      </w:rPr>
    </w:lvl>
    <w:lvl w:ilvl="2" w:tplc="2DB4DEA4">
      <w:numFmt w:val="bullet"/>
      <w:lvlText w:val="•"/>
      <w:lvlJc w:val="left"/>
      <w:pPr>
        <w:ind w:left="2128" w:hanging="708"/>
      </w:pPr>
      <w:rPr>
        <w:rFonts w:hint="default"/>
        <w:lang w:val="it-IT" w:eastAsia="en-US" w:bidi="ar-SA"/>
      </w:rPr>
    </w:lvl>
    <w:lvl w:ilvl="3" w:tplc="B986D81A">
      <w:numFmt w:val="bullet"/>
      <w:lvlText w:val="•"/>
      <w:lvlJc w:val="left"/>
      <w:pPr>
        <w:ind w:left="3132" w:hanging="708"/>
      </w:pPr>
      <w:rPr>
        <w:rFonts w:hint="default"/>
        <w:lang w:val="it-IT" w:eastAsia="en-US" w:bidi="ar-SA"/>
      </w:rPr>
    </w:lvl>
    <w:lvl w:ilvl="4" w:tplc="D812BC42">
      <w:numFmt w:val="bullet"/>
      <w:lvlText w:val="•"/>
      <w:lvlJc w:val="left"/>
      <w:pPr>
        <w:ind w:left="4136" w:hanging="708"/>
      </w:pPr>
      <w:rPr>
        <w:rFonts w:hint="default"/>
        <w:lang w:val="it-IT" w:eastAsia="en-US" w:bidi="ar-SA"/>
      </w:rPr>
    </w:lvl>
    <w:lvl w:ilvl="5" w:tplc="B0AE946E">
      <w:numFmt w:val="bullet"/>
      <w:lvlText w:val="•"/>
      <w:lvlJc w:val="left"/>
      <w:pPr>
        <w:ind w:left="5140" w:hanging="708"/>
      </w:pPr>
      <w:rPr>
        <w:rFonts w:hint="default"/>
        <w:lang w:val="it-IT" w:eastAsia="en-US" w:bidi="ar-SA"/>
      </w:rPr>
    </w:lvl>
    <w:lvl w:ilvl="6" w:tplc="EBB8B29E">
      <w:numFmt w:val="bullet"/>
      <w:lvlText w:val="•"/>
      <w:lvlJc w:val="left"/>
      <w:pPr>
        <w:ind w:left="6144" w:hanging="708"/>
      </w:pPr>
      <w:rPr>
        <w:rFonts w:hint="default"/>
        <w:lang w:val="it-IT" w:eastAsia="en-US" w:bidi="ar-SA"/>
      </w:rPr>
    </w:lvl>
    <w:lvl w:ilvl="7" w:tplc="EDAEF4A0">
      <w:numFmt w:val="bullet"/>
      <w:lvlText w:val="•"/>
      <w:lvlJc w:val="left"/>
      <w:pPr>
        <w:ind w:left="7148" w:hanging="708"/>
      </w:pPr>
      <w:rPr>
        <w:rFonts w:hint="default"/>
        <w:lang w:val="it-IT" w:eastAsia="en-US" w:bidi="ar-SA"/>
      </w:rPr>
    </w:lvl>
    <w:lvl w:ilvl="8" w:tplc="4E70A540">
      <w:numFmt w:val="bullet"/>
      <w:lvlText w:val="•"/>
      <w:lvlJc w:val="left"/>
      <w:pPr>
        <w:ind w:left="8152" w:hanging="708"/>
      </w:pPr>
      <w:rPr>
        <w:rFonts w:hint="default"/>
        <w:lang w:val="it-IT" w:eastAsia="en-US" w:bidi="ar-SA"/>
      </w:rPr>
    </w:lvl>
  </w:abstractNum>
  <w:abstractNum w:abstractNumId="28" w15:restartNumberingAfterBreak="0">
    <w:nsid w:val="66D9564D"/>
    <w:multiLevelType w:val="hybridMultilevel"/>
    <w:tmpl w:val="D19E3F72"/>
    <w:lvl w:ilvl="0" w:tplc="9D346D3A">
      <w:numFmt w:val="bullet"/>
      <w:lvlText w:val="❑"/>
      <w:lvlJc w:val="left"/>
      <w:pPr>
        <w:ind w:left="708" w:hanging="708"/>
      </w:pPr>
      <w:rPr>
        <w:rFonts w:ascii="Segoe UI Symbol" w:eastAsia="Segoe UI Symbol" w:hAnsi="Segoe UI Symbol" w:cs="Segoe UI Symbol" w:hint="default"/>
        <w:b w:val="0"/>
        <w:bCs w:val="0"/>
        <w:i w:val="0"/>
        <w:iCs w:val="0"/>
        <w:spacing w:val="0"/>
        <w:w w:val="85"/>
        <w:sz w:val="24"/>
        <w:szCs w:val="24"/>
        <w:lang w:val="it-IT" w:eastAsia="en-US" w:bidi="ar-SA"/>
      </w:rPr>
    </w:lvl>
    <w:lvl w:ilvl="1" w:tplc="BC267A90">
      <w:numFmt w:val="bullet"/>
      <w:lvlText w:val="•"/>
      <w:lvlJc w:val="left"/>
      <w:pPr>
        <w:ind w:left="1718" w:hanging="708"/>
      </w:pPr>
      <w:rPr>
        <w:rFonts w:hint="default"/>
        <w:lang w:val="it-IT" w:eastAsia="en-US" w:bidi="ar-SA"/>
      </w:rPr>
    </w:lvl>
    <w:lvl w:ilvl="2" w:tplc="8A4ACE10">
      <w:numFmt w:val="bullet"/>
      <w:lvlText w:val="•"/>
      <w:lvlJc w:val="left"/>
      <w:pPr>
        <w:ind w:left="2722" w:hanging="708"/>
      </w:pPr>
      <w:rPr>
        <w:rFonts w:hint="default"/>
        <w:lang w:val="it-IT" w:eastAsia="en-US" w:bidi="ar-SA"/>
      </w:rPr>
    </w:lvl>
    <w:lvl w:ilvl="3" w:tplc="F464281C">
      <w:numFmt w:val="bullet"/>
      <w:lvlText w:val="•"/>
      <w:lvlJc w:val="left"/>
      <w:pPr>
        <w:ind w:left="3726" w:hanging="708"/>
      </w:pPr>
      <w:rPr>
        <w:rFonts w:hint="default"/>
        <w:lang w:val="it-IT" w:eastAsia="en-US" w:bidi="ar-SA"/>
      </w:rPr>
    </w:lvl>
    <w:lvl w:ilvl="4" w:tplc="077EBAA2">
      <w:numFmt w:val="bullet"/>
      <w:lvlText w:val="•"/>
      <w:lvlJc w:val="left"/>
      <w:pPr>
        <w:ind w:left="4730" w:hanging="708"/>
      </w:pPr>
      <w:rPr>
        <w:rFonts w:hint="default"/>
        <w:lang w:val="it-IT" w:eastAsia="en-US" w:bidi="ar-SA"/>
      </w:rPr>
    </w:lvl>
    <w:lvl w:ilvl="5" w:tplc="7BE8F8C8">
      <w:numFmt w:val="bullet"/>
      <w:lvlText w:val="•"/>
      <w:lvlJc w:val="left"/>
      <w:pPr>
        <w:ind w:left="5734" w:hanging="708"/>
      </w:pPr>
      <w:rPr>
        <w:rFonts w:hint="default"/>
        <w:lang w:val="it-IT" w:eastAsia="en-US" w:bidi="ar-SA"/>
      </w:rPr>
    </w:lvl>
    <w:lvl w:ilvl="6" w:tplc="D45EC43A">
      <w:numFmt w:val="bullet"/>
      <w:lvlText w:val="•"/>
      <w:lvlJc w:val="left"/>
      <w:pPr>
        <w:ind w:left="6738" w:hanging="708"/>
      </w:pPr>
      <w:rPr>
        <w:rFonts w:hint="default"/>
        <w:lang w:val="it-IT" w:eastAsia="en-US" w:bidi="ar-SA"/>
      </w:rPr>
    </w:lvl>
    <w:lvl w:ilvl="7" w:tplc="708E90C6">
      <w:numFmt w:val="bullet"/>
      <w:lvlText w:val="•"/>
      <w:lvlJc w:val="left"/>
      <w:pPr>
        <w:ind w:left="7742" w:hanging="708"/>
      </w:pPr>
      <w:rPr>
        <w:rFonts w:hint="default"/>
        <w:lang w:val="it-IT" w:eastAsia="en-US" w:bidi="ar-SA"/>
      </w:rPr>
    </w:lvl>
    <w:lvl w:ilvl="8" w:tplc="6086528C">
      <w:numFmt w:val="bullet"/>
      <w:lvlText w:val="•"/>
      <w:lvlJc w:val="left"/>
      <w:pPr>
        <w:ind w:left="8746" w:hanging="708"/>
      </w:pPr>
      <w:rPr>
        <w:rFonts w:hint="default"/>
        <w:lang w:val="it-IT" w:eastAsia="en-US" w:bidi="ar-SA"/>
      </w:rPr>
    </w:lvl>
  </w:abstractNum>
  <w:abstractNum w:abstractNumId="29" w15:restartNumberingAfterBreak="0">
    <w:nsid w:val="691D5E62"/>
    <w:multiLevelType w:val="hybridMultilevel"/>
    <w:tmpl w:val="4AFE8A42"/>
    <w:lvl w:ilvl="0" w:tplc="04100011">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30" w15:restartNumberingAfterBreak="0">
    <w:nsid w:val="6C292EB5"/>
    <w:multiLevelType w:val="hybridMultilevel"/>
    <w:tmpl w:val="FD9AC6AA"/>
    <w:lvl w:ilvl="0" w:tplc="9D346D3A">
      <w:numFmt w:val="bullet"/>
      <w:lvlText w:val="❑"/>
      <w:lvlJc w:val="left"/>
      <w:pPr>
        <w:ind w:left="832" w:hanging="360"/>
      </w:pPr>
      <w:rPr>
        <w:rFonts w:ascii="Segoe UI Symbol" w:eastAsia="Segoe UI Symbol" w:hAnsi="Segoe UI Symbol" w:cs="Segoe UI Symbol" w:hint="default"/>
        <w:b w:val="0"/>
        <w:bCs w:val="0"/>
        <w:i w:val="0"/>
        <w:iCs w:val="0"/>
        <w:spacing w:val="0"/>
        <w:w w:val="85"/>
        <w:sz w:val="24"/>
        <w:szCs w:val="24"/>
        <w:lang w:val="it-IT" w:eastAsia="en-US" w:bidi="ar-SA"/>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31" w15:restartNumberingAfterBreak="0">
    <w:nsid w:val="78F92D27"/>
    <w:multiLevelType w:val="multilevel"/>
    <w:tmpl w:val="CFD00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E392119"/>
    <w:multiLevelType w:val="multilevel"/>
    <w:tmpl w:val="C7907B4A"/>
    <w:lvl w:ilvl="0">
      <w:numFmt w:val="bullet"/>
      <w:lvlText w:val="-"/>
      <w:lvlJc w:val="left"/>
      <w:pPr>
        <w:ind w:left="360" w:hanging="360"/>
      </w:pPr>
      <w:rPr>
        <w:rFonts w:ascii="Calibri" w:eastAsia="Calibri" w:hAnsi="Calibri" w:cs="Calibri"/>
        <w:b w:val="0"/>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B12D62"/>
    <w:multiLevelType w:val="hybridMultilevel"/>
    <w:tmpl w:val="9D08B21E"/>
    <w:lvl w:ilvl="0" w:tplc="9E361752">
      <w:start w:val="5"/>
      <w:numFmt w:val="decimal"/>
      <w:lvlText w:val="%1"/>
      <w:lvlJc w:val="left"/>
      <w:pPr>
        <w:ind w:left="237" w:hanging="125"/>
      </w:pPr>
      <w:rPr>
        <w:rFonts w:ascii="Calibri" w:eastAsia="Calibri" w:hAnsi="Calibri" w:cs="Calibri" w:hint="default"/>
        <w:w w:val="99"/>
        <w:position w:val="8"/>
        <w:sz w:val="14"/>
        <w:szCs w:val="14"/>
        <w:lang w:val="it-IT" w:eastAsia="en-US" w:bidi="ar-SA"/>
      </w:rPr>
    </w:lvl>
    <w:lvl w:ilvl="1" w:tplc="E21CD782">
      <w:numFmt w:val="bullet"/>
      <w:lvlText w:val="•"/>
      <w:lvlJc w:val="left"/>
      <w:pPr>
        <w:ind w:left="1220" w:hanging="125"/>
      </w:pPr>
      <w:rPr>
        <w:rFonts w:hint="default"/>
        <w:lang w:val="it-IT" w:eastAsia="en-US" w:bidi="ar-SA"/>
      </w:rPr>
    </w:lvl>
    <w:lvl w:ilvl="2" w:tplc="35DEF5B0">
      <w:numFmt w:val="bullet"/>
      <w:lvlText w:val="•"/>
      <w:lvlJc w:val="left"/>
      <w:pPr>
        <w:ind w:left="2201" w:hanging="125"/>
      </w:pPr>
      <w:rPr>
        <w:rFonts w:hint="default"/>
        <w:lang w:val="it-IT" w:eastAsia="en-US" w:bidi="ar-SA"/>
      </w:rPr>
    </w:lvl>
    <w:lvl w:ilvl="3" w:tplc="241E127C">
      <w:numFmt w:val="bullet"/>
      <w:lvlText w:val="•"/>
      <w:lvlJc w:val="left"/>
      <w:pPr>
        <w:ind w:left="3181" w:hanging="125"/>
      </w:pPr>
      <w:rPr>
        <w:rFonts w:hint="default"/>
        <w:lang w:val="it-IT" w:eastAsia="en-US" w:bidi="ar-SA"/>
      </w:rPr>
    </w:lvl>
    <w:lvl w:ilvl="4" w:tplc="A69C36BC">
      <w:numFmt w:val="bullet"/>
      <w:lvlText w:val="•"/>
      <w:lvlJc w:val="left"/>
      <w:pPr>
        <w:ind w:left="4162" w:hanging="125"/>
      </w:pPr>
      <w:rPr>
        <w:rFonts w:hint="default"/>
        <w:lang w:val="it-IT" w:eastAsia="en-US" w:bidi="ar-SA"/>
      </w:rPr>
    </w:lvl>
    <w:lvl w:ilvl="5" w:tplc="223A4F5C">
      <w:numFmt w:val="bullet"/>
      <w:lvlText w:val="•"/>
      <w:lvlJc w:val="left"/>
      <w:pPr>
        <w:ind w:left="5143" w:hanging="125"/>
      </w:pPr>
      <w:rPr>
        <w:rFonts w:hint="default"/>
        <w:lang w:val="it-IT" w:eastAsia="en-US" w:bidi="ar-SA"/>
      </w:rPr>
    </w:lvl>
    <w:lvl w:ilvl="6" w:tplc="0798C50C">
      <w:numFmt w:val="bullet"/>
      <w:lvlText w:val="•"/>
      <w:lvlJc w:val="left"/>
      <w:pPr>
        <w:ind w:left="6123" w:hanging="125"/>
      </w:pPr>
      <w:rPr>
        <w:rFonts w:hint="default"/>
        <w:lang w:val="it-IT" w:eastAsia="en-US" w:bidi="ar-SA"/>
      </w:rPr>
    </w:lvl>
    <w:lvl w:ilvl="7" w:tplc="E0D83E40">
      <w:numFmt w:val="bullet"/>
      <w:lvlText w:val="•"/>
      <w:lvlJc w:val="left"/>
      <w:pPr>
        <w:ind w:left="7104" w:hanging="125"/>
      </w:pPr>
      <w:rPr>
        <w:rFonts w:hint="default"/>
        <w:lang w:val="it-IT" w:eastAsia="en-US" w:bidi="ar-SA"/>
      </w:rPr>
    </w:lvl>
    <w:lvl w:ilvl="8" w:tplc="944E0D68">
      <w:numFmt w:val="bullet"/>
      <w:lvlText w:val="•"/>
      <w:lvlJc w:val="left"/>
      <w:pPr>
        <w:ind w:left="8085" w:hanging="125"/>
      </w:pPr>
      <w:rPr>
        <w:rFonts w:hint="default"/>
        <w:lang w:val="it-IT" w:eastAsia="en-US" w:bidi="ar-SA"/>
      </w:rPr>
    </w:lvl>
  </w:abstractNum>
  <w:num w:numId="1" w16cid:durableId="2143964780">
    <w:abstractNumId w:val="2"/>
  </w:num>
  <w:num w:numId="2" w16cid:durableId="380833333">
    <w:abstractNumId w:val="23"/>
  </w:num>
  <w:num w:numId="3" w16cid:durableId="1056704545">
    <w:abstractNumId w:val="5"/>
  </w:num>
  <w:num w:numId="4" w16cid:durableId="879826385">
    <w:abstractNumId w:val="18"/>
  </w:num>
  <w:num w:numId="5" w16cid:durableId="1249002988">
    <w:abstractNumId w:val="17"/>
  </w:num>
  <w:num w:numId="6" w16cid:durableId="91702687">
    <w:abstractNumId w:val="24"/>
  </w:num>
  <w:num w:numId="7" w16cid:durableId="1392191918">
    <w:abstractNumId w:val="8"/>
  </w:num>
  <w:num w:numId="8" w16cid:durableId="645279036">
    <w:abstractNumId w:val="1"/>
  </w:num>
  <w:num w:numId="9" w16cid:durableId="1502308741">
    <w:abstractNumId w:val="14"/>
  </w:num>
  <w:num w:numId="10" w16cid:durableId="973872633">
    <w:abstractNumId w:val="25"/>
  </w:num>
  <w:num w:numId="11" w16cid:durableId="180440121">
    <w:abstractNumId w:val="13"/>
  </w:num>
  <w:num w:numId="12" w16cid:durableId="414863791">
    <w:abstractNumId w:val="33"/>
  </w:num>
  <w:num w:numId="13" w16cid:durableId="202715343">
    <w:abstractNumId w:val="15"/>
  </w:num>
  <w:num w:numId="14" w16cid:durableId="1114594787">
    <w:abstractNumId w:val="21"/>
  </w:num>
  <w:num w:numId="15" w16cid:durableId="623117548">
    <w:abstractNumId w:val="27"/>
  </w:num>
  <w:num w:numId="16" w16cid:durableId="716273051">
    <w:abstractNumId w:val="0"/>
  </w:num>
  <w:num w:numId="17" w16cid:durableId="267204566">
    <w:abstractNumId w:val="20"/>
  </w:num>
  <w:num w:numId="18" w16cid:durableId="519708928">
    <w:abstractNumId w:val="6"/>
  </w:num>
  <w:num w:numId="19" w16cid:durableId="1325474146">
    <w:abstractNumId w:val="19"/>
  </w:num>
  <w:num w:numId="20" w16cid:durableId="1896819992">
    <w:abstractNumId w:val="10"/>
  </w:num>
  <w:num w:numId="21" w16cid:durableId="788208303">
    <w:abstractNumId w:val="30"/>
  </w:num>
  <w:num w:numId="22" w16cid:durableId="419255229">
    <w:abstractNumId w:val="26"/>
  </w:num>
  <w:num w:numId="23" w16cid:durableId="256183813">
    <w:abstractNumId w:val="4"/>
  </w:num>
  <w:num w:numId="24" w16cid:durableId="1530335184">
    <w:abstractNumId w:val="12"/>
  </w:num>
  <w:num w:numId="25" w16cid:durableId="208080684">
    <w:abstractNumId w:val="31"/>
  </w:num>
  <w:num w:numId="26" w16cid:durableId="2058123926">
    <w:abstractNumId w:val="16"/>
  </w:num>
  <w:num w:numId="27" w16cid:durableId="1737513917">
    <w:abstractNumId w:val="22"/>
  </w:num>
  <w:num w:numId="28" w16cid:durableId="1338922856">
    <w:abstractNumId w:val="32"/>
  </w:num>
  <w:num w:numId="29" w16cid:durableId="342559633">
    <w:abstractNumId w:val="28"/>
  </w:num>
  <w:num w:numId="30" w16cid:durableId="1848859495">
    <w:abstractNumId w:val="3"/>
  </w:num>
  <w:num w:numId="31" w16cid:durableId="2059744848">
    <w:abstractNumId w:val="29"/>
  </w:num>
  <w:num w:numId="32" w16cid:durableId="853419200">
    <w:abstractNumId w:val="11"/>
  </w:num>
  <w:num w:numId="33" w16cid:durableId="533275600">
    <w:abstractNumId w:val="9"/>
  </w:num>
  <w:num w:numId="34" w16cid:durableId="1504135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D9"/>
    <w:rsid w:val="000145F9"/>
    <w:rsid w:val="00032A67"/>
    <w:rsid w:val="000423CE"/>
    <w:rsid w:val="000D0502"/>
    <w:rsid w:val="00104DE1"/>
    <w:rsid w:val="0011375B"/>
    <w:rsid w:val="00133964"/>
    <w:rsid w:val="00165670"/>
    <w:rsid w:val="00174382"/>
    <w:rsid w:val="00175767"/>
    <w:rsid w:val="00192E33"/>
    <w:rsid w:val="001A4B9F"/>
    <w:rsid w:val="001A4F5C"/>
    <w:rsid w:val="001B2E76"/>
    <w:rsid w:val="001D13EA"/>
    <w:rsid w:val="002062D8"/>
    <w:rsid w:val="002517CD"/>
    <w:rsid w:val="002A4983"/>
    <w:rsid w:val="00311F6B"/>
    <w:rsid w:val="00316573"/>
    <w:rsid w:val="00350DD9"/>
    <w:rsid w:val="00382ADF"/>
    <w:rsid w:val="003B1790"/>
    <w:rsid w:val="003B380F"/>
    <w:rsid w:val="003C20D1"/>
    <w:rsid w:val="003D1C49"/>
    <w:rsid w:val="00406448"/>
    <w:rsid w:val="00406C14"/>
    <w:rsid w:val="004267AC"/>
    <w:rsid w:val="0045506E"/>
    <w:rsid w:val="00487611"/>
    <w:rsid w:val="004D2A50"/>
    <w:rsid w:val="004D2F4B"/>
    <w:rsid w:val="004D7247"/>
    <w:rsid w:val="0052307C"/>
    <w:rsid w:val="00533CF9"/>
    <w:rsid w:val="0055150E"/>
    <w:rsid w:val="005B705B"/>
    <w:rsid w:val="005E1757"/>
    <w:rsid w:val="005F6BCB"/>
    <w:rsid w:val="006301DE"/>
    <w:rsid w:val="0063560E"/>
    <w:rsid w:val="00645E1B"/>
    <w:rsid w:val="00671016"/>
    <w:rsid w:val="006D3E3C"/>
    <w:rsid w:val="006E2E1E"/>
    <w:rsid w:val="007251A6"/>
    <w:rsid w:val="00741D73"/>
    <w:rsid w:val="007556D4"/>
    <w:rsid w:val="007761A3"/>
    <w:rsid w:val="00776BE1"/>
    <w:rsid w:val="007D6F9A"/>
    <w:rsid w:val="007F5353"/>
    <w:rsid w:val="00843E29"/>
    <w:rsid w:val="008446D8"/>
    <w:rsid w:val="00844F54"/>
    <w:rsid w:val="008745A6"/>
    <w:rsid w:val="00880F9D"/>
    <w:rsid w:val="008E289C"/>
    <w:rsid w:val="008F700D"/>
    <w:rsid w:val="00904E70"/>
    <w:rsid w:val="009310D8"/>
    <w:rsid w:val="00934ECA"/>
    <w:rsid w:val="00981BC2"/>
    <w:rsid w:val="0098511E"/>
    <w:rsid w:val="009A0C19"/>
    <w:rsid w:val="009C5527"/>
    <w:rsid w:val="009E7DCD"/>
    <w:rsid w:val="009F1991"/>
    <w:rsid w:val="00A01902"/>
    <w:rsid w:val="00A25E98"/>
    <w:rsid w:val="00A47DD9"/>
    <w:rsid w:val="00A529D5"/>
    <w:rsid w:val="00A90066"/>
    <w:rsid w:val="00AA66CD"/>
    <w:rsid w:val="00AB7455"/>
    <w:rsid w:val="00AD2741"/>
    <w:rsid w:val="00AE5E56"/>
    <w:rsid w:val="00B02C5F"/>
    <w:rsid w:val="00B36ED1"/>
    <w:rsid w:val="00B525CB"/>
    <w:rsid w:val="00B675FA"/>
    <w:rsid w:val="00B80FFD"/>
    <w:rsid w:val="00B90C48"/>
    <w:rsid w:val="00B9493D"/>
    <w:rsid w:val="00BB2545"/>
    <w:rsid w:val="00BF20CE"/>
    <w:rsid w:val="00C03F8F"/>
    <w:rsid w:val="00C0519D"/>
    <w:rsid w:val="00C05F41"/>
    <w:rsid w:val="00C418D6"/>
    <w:rsid w:val="00C6085D"/>
    <w:rsid w:val="00C63DDE"/>
    <w:rsid w:val="00C73613"/>
    <w:rsid w:val="00C92A45"/>
    <w:rsid w:val="00CB3294"/>
    <w:rsid w:val="00CB70FD"/>
    <w:rsid w:val="00CD3E8A"/>
    <w:rsid w:val="00CF60B2"/>
    <w:rsid w:val="00D2662B"/>
    <w:rsid w:val="00D26F7A"/>
    <w:rsid w:val="00D3019D"/>
    <w:rsid w:val="00D442BB"/>
    <w:rsid w:val="00D477D9"/>
    <w:rsid w:val="00D55DC2"/>
    <w:rsid w:val="00D911AB"/>
    <w:rsid w:val="00D96D16"/>
    <w:rsid w:val="00DC37DB"/>
    <w:rsid w:val="00DC478F"/>
    <w:rsid w:val="00DD3CCA"/>
    <w:rsid w:val="00DE3F00"/>
    <w:rsid w:val="00E21992"/>
    <w:rsid w:val="00E36B9C"/>
    <w:rsid w:val="00E41E3A"/>
    <w:rsid w:val="00E7183E"/>
    <w:rsid w:val="00E805D5"/>
    <w:rsid w:val="00E91E78"/>
    <w:rsid w:val="00EC1FE1"/>
    <w:rsid w:val="00EF2B5A"/>
    <w:rsid w:val="00F13DF9"/>
    <w:rsid w:val="00F16185"/>
    <w:rsid w:val="00F33626"/>
    <w:rsid w:val="00F37ECB"/>
    <w:rsid w:val="00F53C9D"/>
    <w:rsid w:val="00F54CAA"/>
    <w:rsid w:val="00F70920"/>
    <w:rsid w:val="00F7501F"/>
    <w:rsid w:val="00F75F1C"/>
    <w:rsid w:val="00F7607A"/>
    <w:rsid w:val="00F90710"/>
    <w:rsid w:val="00F962E3"/>
    <w:rsid w:val="00FA31C7"/>
    <w:rsid w:val="00FB3803"/>
    <w:rsid w:val="00FC3B56"/>
    <w:rsid w:val="00FC6D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42514"/>
  <w15:docId w15:val="{0E869A31-FF00-4C62-8E09-B15120DC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77"/>
      <w:ind w:left="112"/>
      <w:jc w:val="both"/>
      <w:outlineLvl w:val="0"/>
    </w:pPr>
    <w:rPr>
      <w:sz w:val="32"/>
      <w:szCs w:val="32"/>
    </w:rPr>
  </w:style>
  <w:style w:type="paragraph" w:styleId="Titolo2">
    <w:name w:val="heading 2"/>
    <w:basedOn w:val="Normale"/>
    <w:uiPriority w:val="9"/>
    <w:unhideWhenUsed/>
    <w:qFormat/>
    <w:pPr>
      <w:spacing w:before="83"/>
      <w:ind w:left="112"/>
      <w:jc w:val="both"/>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679" w:hanging="356"/>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A47DD9"/>
    <w:pPr>
      <w:tabs>
        <w:tab w:val="center" w:pos="4819"/>
        <w:tab w:val="right" w:pos="9638"/>
      </w:tabs>
    </w:pPr>
  </w:style>
  <w:style w:type="character" w:customStyle="1" w:styleId="IntestazioneCarattere">
    <w:name w:val="Intestazione Carattere"/>
    <w:basedOn w:val="Carpredefinitoparagrafo"/>
    <w:link w:val="Intestazione"/>
    <w:uiPriority w:val="99"/>
    <w:rsid w:val="00A47DD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A47DD9"/>
    <w:pPr>
      <w:tabs>
        <w:tab w:val="center" w:pos="4819"/>
        <w:tab w:val="right" w:pos="9638"/>
      </w:tabs>
    </w:pPr>
  </w:style>
  <w:style w:type="character" w:customStyle="1" w:styleId="PidipaginaCarattere">
    <w:name w:val="Piè di pagina Carattere"/>
    <w:basedOn w:val="Carpredefinitoparagrafo"/>
    <w:link w:val="Pidipagina"/>
    <w:uiPriority w:val="99"/>
    <w:rsid w:val="00A47DD9"/>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C73613"/>
    <w:rPr>
      <w:color w:val="0000FF" w:themeColor="hyperlink"/>
      <w:u w:val="single"/>
    </w:rPr>
  </w:style>
  <w:style w:type="character" w:styleId="Menzionenonrisolta">
    <w:name w:val="Unresolved Mention"/>
    <w:basedOn w:val="Carpredefinitoparagrafo"/>
    <w:uiPriority w:val="99"/>
    <w:semiHidden/>
    <w:unhideWhenUsed/>
    <w:rsid w:val="00C73613"/>
    <w:rPr>
      <w:color w:val="605E5C"/>
      <w:shd w:val="clear" w:color="auto" w:fill="E1DFDD"/>
    </w:rPr>
  </w:style>
  <w:style w:type="paragraph" w:styleId="Testonotaapidipagina">
    <w:name w:val="footnote text"/>
    <w:basedOn w:val="Normale"/>
    <w:link w:val="TestonotaapidipaginaCarattere"/>
    <w:uiPriority w:val="99"/>
    <w:semiHidden/>
    <w:unhideWhenUsed/>
    <w:rsid w:val="006301DE"/>
    <w:rPr>
      <w:sz w:val="20"/>
      <w:szCs w:val="20"/>
    </w:rPr>
  </w:style>
  <w:style w:type="character" w:customStyle="1" w:styleId="TestonotaapidipaginaCarattere">
    <w:name w:val="Testo nota a piè di pagina Carattere"/>
    <w:basedOn w:val="Carpredefinitoparagrafo"/>
    <w:link w:val="Testonotaapidipagina"/>
    <w:uiPriority w:val="99"/>
    <w:semiHidden/>
    <w:rsid w:val="006301DE"/>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6301DE"/>
    <w:rPr>
      <w:vertAlign w:val="superscript"/>
    </w:rPr>
  </w:style>
  <w:style w:type="paragraph" w:styleId="Titolo">
    <w:name w:val="Title"/>
    <w:basedOn w:val="Normale"/>
    <w:link w:val="TitoloCarattere"/>
    <w:uiPriority w:val="1"/>
    <w:qFormat/>
    <w:rsid w:val="00DD3CCA"/>
    <w:pPr>
      <w:spacing w:before="32"/>
      <w:ind w:left="335" w:right="390"/>
      <w:jc w:val="center"/>
    </w:pPr>
    <w:rPr>
      <w:rFonts w:ascii="Calibri" w:eastAsia="Calibri" w:hAnsi="Calibri" w:cs="Calibri"/>
      <w:b/>
      <w:bCs/>
      <w:sz w:val="26"/>
      <w:szCs w:val="26"/>
    </w:rPr>
  </w:style>
  <w:style w:type="character" w:customStyle="1" w:styleId="TitoloCarattere">
    <w:name w:val="Titolo Carattere"/>
    <w:basedOn w:val="Carpredefinitoparagrafo"/>
    <w:link w:val="Titolo"/>
    <w:uiPriority w:val="1"/>
    <w:rsid w:val="00DD3CCA"/>
    <w:rPr>
      <w:rFonts w:ascii="Calibri" w:eastAsia="Calibri" w:hAnsi="Calibri" w:cs="Calibri"/>
      <w:b/>
      <w:bCs/>
      <w:sz w:val="26"/>
      <w:szCs w:val="26"/>
      <w:lang w:val="it-IT"/>
    </w:rPr>
  </w:style>
  <w:style w:type="table" w:styleId="Grigliatabella">
    <w:name w:val="Table Grid"/>
    <w:basedOn w:val="Tabellanormale"/>
    <w:uiPriority w:val="39"/>
    <w:rsid w:val="00DD3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DD3CCA"/>
    <w:pPr>
      <w:spacing w:after="200"/>
    </w:pPr>
    <w:rPr>
      <w:rFonts w:ascii="Calibri" w:eastAsia="Calibri" w:hAnsi="Calibri" w:cs="Calibri"/>
      <w:i/>
      <w:iCs/>
      <w:color w:val="1F497D" w:themeColor="text2"/>
      <w:sz w:val="18"/>
      <w:szCs w:val="18"/>
    </w:rPr>
  </w:style>
  <w:style w:type="paragraph" w:customStyle="1" w:styleId="Default">
    <w:name w:val="Default"/>
    <w:rsid w:val="00DD3CCA"/>
    <w:pPr>
      <w:widowControl/>
      <w:adjustRightInd w:val="0"/>
    </w:pPr>
    <w:rPr>
      <w:rFonts w:ascii="EUAlbertina" w:hAnsi="EUAlbertina" w:cs="EUAlbertina"/>
      <w:color w:val="000000"/>
      <w:sz w:val="24"/>
      <w:szCs w:val="24"/>
      <w:lang w:val="it-IT"/>
    </w:rPr>
  </w:style>
  <w:style w:type="paragraph" w:styleId="NormaleWeb">
    <w:name w:val="Normal (Web)"/>
    <w:basedOn w:val="Normale"/>
    <w:uiPriority w:val="99"/>
    <w:semiHidden/>
    <w:unhideWhenUsed/>
    <w:rsid w:val="00C63DDE"/>
    <w:pPr>
      <w:widowControl/>
      <w:autoSpaceDE/>
      <w:autoSpaceDN/>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300175">
      <w:bodyDiv w:val="1"/>
      <w:marLeft w:val="0"/>
      <w:marRight w:val="0"/>
      <w:marTop w:val="0"/>
      <w:marBottom w:val="0"/>
      <w:divBdr>
        <w:top w:val="none" w:sz="0" w:space="0" w:color="auto"/>
        <w:left w:val="none" w:sz="0" w:space="0" w:color="auto"/>
        <w:bottom w:val="none" w:sz="0" w:space="0" w:color="auto"/>
        <w:right w:val="none" w:sz="0" w:space="0" w:color="auto"/>
      </w:divBdr>
    </w:div>
    <w:div w:id="2060204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e.umbria.it" TargetMode="External"/><Relationship Id="rId13" Type="http://schemas.openxmlformats.org/officeDocument/2006/relationships/hyperlink" Target="https://www.bosettiegatti.eu/info/norme/statali/2015_0124.htm" TargetMode="External"/><Relationship Id="rId18" Type="http://schemas.openxmlformats.org/officeDocument/2006/relationships/hyperlink" Target="https://www.bosettiegatti.eu/info/norme/statali/2013_0033.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osettiegatti.eu/info/norme/statali/2013_0033.htm" TargetMode="External"/><Relationship Id="rId17" Type="http://schemas.openxmlformats.org/officeDocument/2006/relationships/hyperlink" Target="https://www.bosettiegatti.eu/info/norme/statali/2013_0033.htm" TargetMode="External"/><Relationship Id="rId2" Type="http://schemas.openxmlformats.org/officeDocument/2006/relationships/numbering" Target="numbering.xml"/><Relationship Id="rId16" Type="http://schemas.openxmlformats.org/officeDocument/2006/relationships/hyperlink" Target="http://www.arpalumbria.it/priva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12_0190.htm" TargetMode="External"/><Relationship Id="rId5" Type="http://schemas.openxmlformats.org/officeDocument/2006/relationships/webSettings" Target="webSettings.xml"/><Relationship Id="rId15" Type="http://schemas.openxmlformats.org/officeDocument/2006/relationships/hyperlink" Target="mailto:dpo@arpalumbria.it" TargetMode="External"/><Relationship Id="rId10" Type="http://schemas.openxmlformats.org/officeDocument/2006/relationships/image" Target="media/image1.png"/><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arpalumbria.it" TargetMode="External"/><Relationship Id="rId14" Type="http://schemas.openxmlformats.org/officeDocument/2006/relationships/hyperlink" Target="mailto:arpal@postacert.umbria.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BCD2B-CE3F-4489-A4E4-55B7518C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6</Pages>
  <Words>3163</Words>
  <Characters>18035</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Microsoft Word - Allegato 1 - Domanda di inserimento - Copia.docx</vt:lpstr>
    </vt:vector>
  </TitlesOfParts>
  <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1 - Domanda di inserimento - Copia.docx</dc:title>
  <dc:creator>evolpi</dc:creator>
  <cp:lastModifiedBy>Valeria Meo</cp:lastModifiedBy>
  <cp:revision>34</cp:revision>
  <cp:lastPrinted>2025-08-14T12:45:00Z</cp:lastPrinted>
  <dcterms:created xsi:type="dcterms:W3CDTF">2024-11-06T10:42:00Z</dcterms:created>
  <dcterms:modified xsi:type="dcterms:W3CDTF">2025-08-19T08:06:00Z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2022-09-07T00:00:00Z</vt:filetime>
  </property>
  <property fmtid="{D5CDD505-2E9C-101B-9397-08002B2CF9AE}" pid="3" name="LastSaved">
    <vt:filetime>2024-10-07T00:00:00Z</vt:filetime>
  </property>
</Properties>
</file>